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A17F6" w14:textId="77777777" w:rsidR="003A0237" w:rsidRDefault="008F293F" w:rsidP="32B5D2B0">
      <w:r>
        <w:rPr>
          <w:rFonts w:ascii="Times New Roman" w:hAnsi="Times New Roman"/>
          <w:sz w:val="24"/>
          <w:szCs w:val="24"/>
        </w:rPr>
        <w:pict w14:anchorId="432F0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5pt;margin-top:-43.9pt;width:255.75pt;height:86.25pt;z-index:-1;visibility:visible">
            <v:imagedata r:id="rId10" o:title=""/>
          </v:shape>
        </w:pict>
      </w:r>
      <w:r w:rsidR="007B645F">
        <w:tab/>
      </w:r>
      <w:r w:rsidR="007B645F">
        <w:tab/>
      </w:r>
      <w:r w:rsidR="007B645F">
        <w:tab/>
      </w:r>
      <w:r w:rsidR="007B645F">
        <w:tab/>
      </w:r>
    </w:p>
    <w:p w14:paraId="41C636C5" w14:textId="77777777" w:rsidR="00796116" w:rsidRDefault="00796116" w:rsidP="00796116">
      <w:pPr>
        <w:rPr>
          <w:rFonts w:ascii="Arial" w:hAnsi="Arial" w:cs="Arial"/>
          <w:b/>
          <w:color w:val="0070C0"/>
          <w:sz w:val="36"/>
          <w:szCs w:val="36"/>
        </w:rPr>
      </w:pPr>
    </w:p>
    <w:p w14:paraId="6C300DE3" w14:textId="71A801C6" w:rsidR="00B31C31" w:rsidRPr="00823949" w:rsidRDefault="00823949" w:rsidP="00823949">
      <w:pPr>
        <w:rPr>
          <w:rFonts w:ascii="Arial" w:hAnsi="Arial" w:cs="Arial"/>
          <w:b/>
          <w:color w:val="0070C0"/>
          <w:sz w:val="36"/>
          <w:szCs w:val="36"/>
        </w:rPr>
      </w:pPr>
      <w:r>
        <w:rPr>
          <w:rFonts w:ascii="Arial" w:hAnsi="Arial" w:cs="Arial"/>
          <w:b/>
          <w:color w:val="0070C0"/>
          <w:sz w:val="36"/>
          <w:szCs w:val="36"/>
        </w:rPr>
        <w:t>Anvisning för person</w:t>
      </w:r>
      <w:r w:rsidR="00124E41">
        <w:rPr>
          <w:rFonts w:ascii="Arial" w:hAnsi="Arial" w:cs="Arial"/>
          <w:b/>
          <w:color w:val="0070C0"/>
          <w:sz w:val="36"/>
          <w:szCs w:val="36"/>
        </w:rPr>
        <w:t>dosimetri</w:t>
      </w:r>
    </w:p>
    <w:p w14:paraId="0A91B401" w14:textId="77777777" w:rsidR="004558FE" w:rsidRPr="004558FE" w:rsidRDefault="004558FE" w:rsidP="004558FE">
      <w:pPr>
        <w:autoSpaceDE w:val="0"/>
        <w:autoSpaceDN w:val="0"/>
        <w:adjustRightInd w:val="0"/>
        <w:spacing w:after="0" w:line="240" w:lineRule="auto"/>
        <w:rPr>
          <w:rFonts w:ascii="Arial" w:hAnsi="Arial" w:cs="Arial"/>
          <w:color w:val="000000"/>
          <w:sz w:val="24"/>
          <w:szCs w:val="24"/>
        </w:rPr>
      </w:pPr>
    </w:p>
    <w:p w14:paraId="12B34BA1" w14:textId="77777777" w:rsidR="00124E41" w:rsidRPr="00124E41" w:rsidRDefault="00124E41" w:rsidP="00124E41">
      <w:pPr>
        <w:autoSpaceDE w:val="0"/>
        <w:autoSpaceDN w:val="0"/>
        <w:adjustRightInd w:val="0"/>
        <w:spacing w:after="0" w:line="240" w:lineRule="auto"/>
        <w:rPr>
          <w:rFonts w:ascii="Arial" w:hAnsi="Arial" w:cs="Arial"/>
          <w:color w:val="000000"/>
          <w:sz w:val="24"/>
          <w:szCs w:val="24"/>
        </w:rPr>
      </w:pPr>
    </w:p>
    <w:p w14:paraId="03691AFC" w14:textId="08537CD9" w:rsidR="00124E41" w:rsidRPr="003D12D5" w:rsidRDefault="00124E41" w:rsidP="00124E41">
      <w:pPr>
        <w:autoSpaceDE w:val="0"/>
        <w:autoSpaceDN w:val="0"/>
        <w:adjustRightInd w:val="0"/>
        <w:spacing w:after="0" w:line="240" w:lineRule="auto"/>
        <w:rPr>
          <w:rFonts w:ascii="Arial" w:hAnsi="Arial" w:cs="Arial"/>
          <w:color w:val="000000"/>
          <w:sz w:val="24"/>
          <w:szCs w:val="24"/>
        </w:rPr>
      </w:pPr>
      <w:r w:rsidRPr="003D12D5">
        <w:rPr>
          <w:rFonts w:ascii="Arial" w:hAnsi="Arial" w:cs="Arial"/>
          <w:color w:val="000000"/>
          <w:sz w:val="24"/>
          <w:szCs w:val="24"/>
        </w:rPr>
        <w:t>Dokumentet sammanfattar riktlinjerna för persondosimetri inom verksamheter med joniserande strålning på SLU. Syftet med dokumentet är att upprätthålla ett gemensamt förhållningssätt avseende persondosimetri.</w:t>
      </w:r>
    </w:p>
    <w:p w14:paraId="723CF190" w14:textId="77777777" w:rsidR="00124E41" w:rsidRPr="003D12D5" w:rsidRDefault="00124E41" w:rsidP="00124E41">
      <w:pPr>
        <w:autoSpaceDE w:val="0"/>
        <w:autoSpaceDN w:val="0"/>
        <w:adjustRightInd w:val="0"/>
        <w:spacing w:after="0" w:line="240" w:lineRule="auto"/>
        <w:rPr>
          <w:rFonts w:ascii="Arial" w:hAnsi="Arial" w:cs="Arial"/>
          <w:color w:val="000000"/>
          <w:sz w:val="24"/>
          <w:szCs w:val="24"/>
        </w:rPr>
      </w:pPr>
    </w:p>
    <w:p w14:paraId="270C0E1C" w14:textId="77777777" w:rsidR="00124E41" w:rsidRPr="00124E41" w:rsidRDefault="00124E41" w:rsidP="00124E41">
      <w:pPr>
        <w:autoSpaceDE w:val="0"/>
        <w:autoSpaceDN w:val="0"/>
        <w:adjustRightInd w:val="0"/>
        <w:spacing w:after="0" w:line="240" w:lineRule="auto"/>
        <w:rPr>
          <w:rFonts w:ascii="Arial" w:hAnsi="Arial" w:cs="Arial"/>
          <w:color w:val="000000"/>
          <w:sz w:val="28"/>
          <w:szCs w:val="28"/>
        </w:rPr>
      </w:pPr>
      <w:r w:rsidRPr="00124E41">
        <w:rPr>
          <w:rFonts w:ascii="Arial" w:hAnsi="Arial" w:cs="Arial"/>
          <w:b/>
          <w:bCs/>
          <w:color w:val="000000"/>
          <w:sz w:val="28"/>
          <w:szCs w:val="28"/>
        </w:rPr>
        <w:t xml:space="preserve">Strålsäkerhetsmyndighetens krav </w:t>
      </w:r>
    </w:p>
    <w:p w14:paraId="14861820" w14:textId="77777777" w:rsidR="00124E41" w:rsidRPr="006604A7" w:rsidRDefault="00124E41" w:rsidP="00124E41">
      <w:pPr>
        <w:autoSpaceDE w:val="0"/>
        <w:autoSpaceDN w:val="0"/>
        <w:adjustRightInd w:val="0"/>
        <w:spacing w:after="0" w:line="240" w:lineRule="auto"/>
        <w:rPr>
          <w:rFonts w:ascii="Arial" w:hAnsi="Arial" w:cs="Arial"/>
          <w:color w:val="000000"/>
          <w:sz w:val="24"/>
          <w:szCs w:val="24"/>
        </w:rPr>
      </w:pPr>
      <w:r w:rsidRPr="006604A7">
        <w:rPr>
          <w:rFonts w:ascii="Arial" w:hAnsi="Arial" w:cs="Arial"/>
          <w:color w:val="000000"/>
          <w:sz w:val="24"/>
          <w:szCs w:val="24"/>
        </w:rPr>
        <w:t>Stråldoser till personal i verksamhet med joniserande strålning ska mätas, rapporteras, arkiveras och i förekommande fall utredas i enlighet med Strålsäkerhe</w:t>
      </w:r>
      <w:r w:rsidR="00295D8E">
        <w:rPr>
          <w:rFonts w:ascii="Arial" w:hAnsi="Arial" w:cs="Arial"/>
          <w:color w:val="000000"/>
          <w:sz w:val="24"/>
          <w:szCs w:val="24"/>
        </w:rPr>
        <w:t>tsmyndighetens föreskrift 2018:</w:t>
      </w:r>
      <w:r w:rsidRPr="006604A7">
        <w:rPr>
          <w:rFonts w:ascii="Arial" w:hAnsi="Arial" w:cs="Arial"/>
          <w:color w:val="000000"/>
          <w:sz w:val="24"/>
          <w:szCs w:val="24"/>
        </w:rPr>
        <w:t>1. Enligt författningens avsnitt om kategoriindelning av personal ska arbetstagare som tillhör kategori A bära personlig dosimeter. För personal i kategori B ska dosmätningar utföras för att försäkra att placeringen i kategori B är korrekt</w:t>
      </w:r>
      <w:r w:rsidR="007913C3">
        <w:rPr>
          <w:rFonts w:ascii="Arial" w:hAnsi="Arial" w:cs="Arial"/>
          <w:color w:val="000000"/>
          <w:sz w:val="24"/>
          <w:szCs w:val="24"/>
        </w:rPr>
        <w:t>, vilket antingen k</w:t>
      </w:r>
      <w:r w:rsidRPr="006604A7">
        <w:rPr>
          <w:rFonts w:ascii="Arial" w:hAnsi="Arial" w:cs="Arial"/>
          <w:color w:val="000000"/>
          <w:sz w:val="24"/>
          <w:szCs w:val="24"/>
        </w:rPr>
        <w:t>an göras med</w:t>
      </w:r>
      <w:r w:rsidR="007913C3">
        <w:rPr>
          <w:rFonts w:ascii="Arial" w:hAnsi="Arial" w:cs="Arial"/>
          <w:color w:val="000000"/>
          <w:sz w:val="24"/>
          <w:szCs w:val="24"/>
        </w:rPr>
        <w:t xml:space="preserve"> en</w:t>
      </w:r>
      <w:r w:rsidRPr="006604A7">
        <w:rPr>
          <w:rFonts w:ascii="Arial" w:hAnsi="Arial" w:cs="Arial"/>
          <w:color w:val="000000"/>
          <w:sz w:val="24"/>
          <w:szCs w:val="24"/>
        </w:rPr>
        <w:t xml:space="preserve"> personlig dosimeter</w:t>
      </w:r>
      <w:r w:rsidR="007913C3">
        <w:rPr>
          <w:rFonts w:ascii="Arial" w:hAnsi="Arial" w:cs="Arial"/>
          <w:color w:val="000000"/>
          <w:sz w:val="24"/>
          <w:szCs w:val="24"/>
        </w:rPr>
        <w:t xml:space="preserve"> eller en s.k. miljödosimeter</w:t>
      </w:r>
      <w:r w:rsidRPr="006604A7">
        <w:rPr>
          <w:rFonts w:ascii="Arial" w:hAnsi="Arial" w:cs="Arial"/>
          <w:color w:val="000000"/>
          <w:sz w:val="24"/>
          <w:szCs w:val="24"/>
        </w:rPr>
        <w:t>.</w:t>
      </w:r>
    </w:p>
    <w:p w14:paraId="77582FD4" w14:textId="77777777" w:rsidR="00124E41" w:rsidRPr="006604A7" w:rsidRDefault="00124E41" w:rsidP="00124E41">
      <w:pPr>
        <w:autoSpaceDE w:val="0"/>
        <w:autoSpaceDN w:val="0"/>
        <w:adjustRightInd w:val="0"/>
        <w:spacing w:after="0" w:line="240" w:lineRule="auto"/>
        <w:rPr>
          <w:rFonts w:ascii="Arial" w:hAnsi="Arial" w:cs="Arial"/>
          <w:color w:val="000000"/>
          <w:sz w:val="24"/>
          <w:szCs w:val="24"/>
        </w:rPr>
      </w:pPr>
    </w:p>
    <w:p w14:paraId="0D2FDEAA" w14:textId="3CAF1869" w:rsidR="00124E41" w:rsidRPr="006604A7" w:rsidRDefault="00124E41" w:rsidP="00124E41">
      <w:pPr>
        <w:autoSpaceDE w:val="0"/>
        <w:autoSpaceDN w:val="0"/>
        <w:adjustRightInd w:val="0"/>
        <w:spacing w:after="0" w:line="240" w:lineRule="auto"/>
        <w:rPr>
          <w:rFonts w:ascii="Arial" w:hAnsi="Arial" w:cs="Arial"/>
          <w:color w:val="000000"/>
          <w:sz w:val="24"/>
          <w:szCs w:val="24"/>
        </w:rPr>
      </w:pPr>
      <w:r w:rsidRPr="006604A7">
        <w:rPr>
          <w:rFonts w:ascii="Arial" w:hAnsi="Arial" w:cs="Arial"/>
          <w:color w:val="000000"/>
          <w:sz w:val="24"/>
          <w:szCs w:val="24"/>
        </w:rPr>
        <w:t>För externa personer som utför arbete inom kontrollerat område gäller Strålsäke</w:t>
      </w:r>
      <w:r w:rsidR="00F47F20">
        <w:rPr>
          <w:rFonts w:ascii="Arial" w:hAnsi="Arial" w:cs="Arial"/>
          <w:color w:val="000000"/>
          <w:sz w:val="24"/>
          <w:szCs w:val="24"/>
        </w:rPr>
        <w:t>rhetsmyndighetens föreskrift 2018:1</w:t>
      </w:r>
      <w:r w:rsidRPr="006604A7">
        <w:rPr>
          <w:rFonts w:ascii="Arial" w:hAnsi="Arial" w:cs="Arial"/>
          <w:color w:val="000000"/>
          <w:sz w:val="24"/>
          <w:szCs w:val="24"/>
        </w:rPr>
        <w:t xml:space="preserve">. För </w:t>
      </w:r>
      <w:r w:rsidR="00EC082F">
        <w:rPr>
          <w:rFonts w:ascii="Arial" w:hAnsi="Arial" w:cs="Arial"/>
          <w:color w:val="000000"/>
          <w:sz w:val="24"/>
          <w:szCs w:val="24"/>
        </w:rPr>
        <w:t xml:space="preserve">lokalvårdande </w:t>
      </w:r>
      <w:r w:rsidRPr="006604A7">
        <w:rPr>
          <w:rFonts w:ascii="Arial" w:hAnsi="Arial" w:cs="Arial"/>
          <w:color w:val="000000"/>
          <w:sz w:val="24"/>
          <w:szCs w:val="24"/>
        </w:rPr>
        <w:t>personal gäller samma regler som för externa personer som utför arbete inom området.</w:t>
      </w:r>
    </w:p>
    <w:p w14:paraId="007DE2F9" w14:textId="77777777" w:rsidR="00124E41" w:rsidRPr="006604A7" w:rsidRDefault="00124E41" w:rsidP="00124E41">
      <w:pPr>
        <w:autoSpaceDE w:val="0"/>
        <w:autoSpaceDN w:val="0"/>
        <w:adjustRightInd w:val="0"/>
        <w:spacing w:after="0" w:line="240" w:lineRule="auto"/>
        <w:rPr>
          <w:rFonts w:ascii="Arial" w:hAnsi="Arial" w:cs="Arial"/>
          <w:color w:val="000000"/>
          <w:sz w:val="24"/>
          <w:szCs w:val="24"/>
        </w:rPr>
      </w:pPr>
    </w:p>
    <w:p w14:paraId="78791B4F" w14:textId="77777777" w:rsidR="00124E41" w:rsidRPr="00124E41" w:rsidRDefault="00124E41" w:rsidP="00124E41">
      <w:pPr>
        <w:autoSpaceDE w:val="0"/>
        <w:autoSpaceDN w:val="0"/>
        <w:adjustRightInd w:val="0"/>
        <w:spacing w:after="0" w:line="240" w:lineRule="auto"/>
        <w:rPr>
          <w:rFonts w:ascii="Arial" w:hAnsi="Arial" w:cs="Arial"/>
          <w:color w:val="000000"/>
          <w:sz w:val="28"/>
          <w:szCs w:val="28"/>
        </w:rPr>
      </w:pPr>
      <w:r w:rsidRPr="00124E41">
        <w:rPr>
          <w:rFonts w:ascii="Arial" w:hAnsi="Arial" w:cs="Arial"/>
          <w:b/>
          <w:bCs/>
          <w:color w:val="000000"/>
          <w:sz w:val="28"/>
          <w:szCs w:val="28"/>
        </w:rPr>
        <w:t xml:space="preserve">Ansvarsfördelning för persondosimetri inom SLU </w:t>
      </w:r>
    </w:p>
    <w:p w14:paraId="59199006" w14:textId="77777777" w:rsidR="00124E41" w:rsidRPr="00295D8E" w:rsidRDefault="00124E41" w:rsidP="00124E41">
      <w:pPr>
        <w:autoSpaceDE w:val="0"/>
        <w:autoSpaceDN w:val="0"/>
        <w:adjustRightInd w:val="0"/>
        <w:spacing w:after="0" w:line="240" w:lineRule="auto"/>
        <w:rPr>
          <w:rFonts w:ascii="Arial" w:hAnsi="Arial" w:cs="Arial"/>
          <w:color w:val="000000"/>
          <w:sz w:val="24"/>
          <w:szCs w:val="24"/>
        </w:rPr>
      </w:pPr>
      <w:r w:rsidRPr="00295D8E">
        <w:rPr>
          <w:rFonts w:ascii="Arial" w:hAnsi="Arial" w:cs="Arial"/>
          <w:color w:val="000000"/>
          <w:sz w:val="24"/>
          <w:szCs w:val="24"/>
        </w:rPr>
        <w:t>SLU anlitar av Strålsäkerhetsmyndigheten godkänt persondosimetrilaboratorium för tillhandahållande av persondosimetrar samt för rapportering till det nationella dosregistret.</w:t>
      </w:r>
    </w:p>
    <w:p w14:paraId="44B711F8" w14:textId="77777777" w:rsidR="00124E41" w:rsidRPr="00295D8E" w:rsidRDefault="00124E41" w:rsidP="00124E41">
      <w:pPr>
        <w:autoSpaceDE w:val="0"/>
        <w:autoSpaceDN w:val="0"/>
        <w:adjustRightInd w:val="0"/>
        <w:spacing w:after="0" w:line="240" w:lineRule="auto"/>
        <w:rPr>
          <w:rFonts w:ascii="Arial" w:hAnsi="Arial" w:cs="Arial"/>
          <w:color w:val="000000"/>
          <w:sz w:val="24"/>
          <w:szCs w:val="24"/>
        </w:rPr>
      </w:pPr>
    </w:p>
    <w:p w14:paraId="3E391E20" w14:textId="77777777" w:rsidR="00124E41" w:rsidRPr="00295D8E" w:rsidRDefault="00124E41" w:rsidP="00124E41">
      <w:pPr>
        <w:autoSpaceDE w:val="0"/>
        <w:autoSpaceDN w:val="0"/>
        <w:adjustRightInd w:val="0"/>
        <w:spacing w:after="0" w:line="240" w:lineRule="auto"/>
        <w:rPr>
          <w:rFonts w:ascii="Arial" w:hAnsi="Arial" w:cs="Arial"/>
          <w:color w:val="000000"/>
          <w:sz w:val="24"/>
          <w:szCs w:val="24"/>
        </w:rPr>
      </w:pPr>
      <w:r w:rsidRPr="00295D8E">
        <w:rPr>
          <w:rFonts w:ascii="Arial" w:hAnsi="Arial" w:cs="Arial"/>
          <w:color w:val="000000"/>
          <w:sz w:val="24"/>
          <w:szCs w:val="24"/>
        </w:rPr>
        <w:t>Verksamhetsansvarig ansvarar för analys och stråldosövervakning av personaldoser. Skulle en person erhålla högre stråldos än vad riktlinjerna i detta dokument anger genomförs en utredning under ledning av strålsäkerhetskommittén.</w:t>
      </w:r>
    </w:p>
    <w:p w14:paraId="304592F5" w14:textId="77777777" w:rsidR="00124E41" w:rsidRPr="00295D8E" w:rsidRDefault="00124E41" w:rsidP="00124E41">
      <w:pPr>
        <w:autoSpaceDE w:val="0"/>
        <w:autoSpaceDN w:val="0"/>
        <w:adjustRightInd w:val="0"/>
        <w:spacing w:after="0" w:line="240" w:lineRule="auto"/>
        <w:rPr>
          <w:rFonts w:ascii="Arial" w:hAnsi="Arial" w:cs="Arial"/>
          <w:color w:val="000000"/>
          <w:sz w:val="24"/>
          <w:szCs w:val="24"/>
        </w:rPr>
      </w:pPr>
    </w:p>
    <w:p w14:paraId="782398F7" w14:textId="77777777" w:rsidR="00124E41" w:rsidRPr="00295D8E" w:rsidRDefault="00124E41" w:rsidP="00124E41">
      <w:pPr>
        <w:autoSpaceDE w:val="0"/>
        <w:autoSpaceDN w:val="0"/>
        <w:adjustRightInd w:val="0"/>
        <w:spacing w:after="0" w:line="240" w:lineRule="auto"/>
        <w:rPr>
          <w:rFonts w:ascii="Arial" w:hAnsi="Arial" w:cs="Arial"/>
          <w:color w:val="000000"/>
          <w:sz w:val="24"/>
          <w:szCs w:val="24"/>
        </w:rPr>
      </w:pPr>
      <w:r w:rsidRPr="00295D8E">
        <w:rPr>
          <w:rFonts w:ascii="Arial" w:hAnsi="Arial" w:cs="Arial"/>
          <w:color w:val="000000"/>
          <w:sz w:val="24"/>
          <w:szCs w:val="24"/>
        </w:rPr>
        <w:t>Vid ny eller förändrad verksamhet med strålning bedömer verksamhetsansvarig i samverkan med strålsäkerhetskommittén om personal ska bära dosimeter. De dosimetrar verksamheten använder bekostas av den verksamhet där personalen är anställd och administreras via den institution/klinik som bedriver verksamheten.</w:t>
      </w:r>
    </w:p>
    <w:p w14:paraId="08B04561" w14:textId="77777777" w:rsidR="00124E41" w:rsidRPr="00295D8E" w:rsidRDefault="00124E41" w:rsidP="00124E41">
      <w:pPr>
        <w:autoSpaceDE w:val="0"/>
        <w:autoSpaceDN w:val="0"/>
        <w:adjustRightInd w:val="0"/>
        <w:spacing w:after="0" w:line="240" w:lineRule="auto"/>
        <w:rPr>
          <w:rFonts w:ascii="Arial" w:hAnsi="Arial" w:cs="Arial"/>
          <w:color w:val="000000"/>
          <w:sz w:val="24"/>
          <w:szCs w:val="24"/>
        </w:rPr>
      </w:pPr>
    </w:p>
    <w:p w14:paraId="6D624146" w14:textId="77777777" w:rsidR="003E6DD7" w:rsidRDefault="00124E41" w:rsidP="00124E41">
      <w:pPr>
        <w:pStyle w:val="Default"/>
      </w:pPr>
      <w:r w:rsidRPr="00295D8E">
        <w:t xml:space="preserve">Instruktioner för rapportering, utredning samt arkivering av persondoser för personal inom </w:t>
      </w:r>
      <w:r w:rsidR="00C57AF9" w:rsidRPr="00295D8E">
        <w:t>SLU:s</w:t>
      </w:r>
      <w:r w:rsidRPr="00295D8E">
        <w:t xml:space="preserve"> verksamheter med joniserande strålning utarbetas av strålsäkerhets</w:t>
      </w:r>
      <w:r w:rsidR="00C57AF9">
        <w:t>-</w:t>
      </w:r>
      <w:r w:rsidRPr="00295D8E">
        <w:t>kommittén.</w:t>
      </w:r>
    </w:p>
    <w:p w14:paraId="6D6F0C9E" w14:textId="77777777" w:rsidR="007913C3" w:rsidRDefault="007913C3" w:rsidP="00124E41">
      <w:pPr>
        <w:pStyle w:val="Default"/>
      </w:pPr>
    </w:p>
    <w:p w14:paraId="584402B5" w14:textId="77777777" w:rsidR="007913C3" w:rsidRPr="00295D8E" w:rsidRDefault="007913C3" w:rsidP="00124E41">
      <w:pPr>
        <w:pStyle w:val="Default"/>
      </w:pPr>
      <w:r>
        <w:t xml:space="preserve">Beställning av dosimetrar ombesörjer den verksamhetsansvarige från </w:t>
      </w:r>
      <w:proofErr w:type="spellStart"/>
      <w:r>
        <w:t>Landaur</w:t>
      </w:r>
      <w:proofErr w:type="spellEnd"/>
      <w:r>
        <w:t xml:space="preserve"> (www.Landaur.se).</w:t>
      </w:r>
    </w:p>
    <w:p w14:paraId="4428B697" w14:textId="77777777" w:rsidR="00124E41" w:rsidRDefault="00124E41">
      <w:pPr>
        <w:rPr>
          <w:rFonts w:ascii="Arial" w:hAnsi="Arial" w:cs="Arial"/>
          <w:b/>
          <w:bCs/>
          <w:color w:val="000000"/>
          <w:sz w:val="28"/>
          <w:szCs w:val="28"/>
        </w:rPr>
      </w:pPr>
      <w:r>
        <w:rPr>
          <w:rFonts w:ascii="Arial" w:hAnsi="Arial" w:cs="Arial"/>
          <w:b/>
          <w:bCs/>
          <w:color w:val="000000"/>
          <w:sz w:val="28"/>
          <w:szCs w:val="28"/>
        </w:rPr>
        <w:br w:type="page"/>
      </w:r>
    </w:p>
    <w:p w14:paraId="68F19AB7" w14:textId="77777777" w:rsidR="00124E41" w:rsidRPr="00124E41" w:rsidRDefault="00124E41" w:rsidP="00124E41">
      <w:pPr>
        <w:autoSpaceDE w:val="0"/>
        <w:autoSpaceDN w:val="0"/>
        <w:adjustRightInd w:val="0"/>
        <w:spacing w:after="0" w:line="240" w:lineRule="auto"/>
        <w:rPr>
          <w:rFonts w:ascii="Arial" w:hAnsi="Arial" w:cs="Arial"/>
          <w:color w:val="000000"/>
          <w:sz w:val="28"/>
          <w:szCs w:val="28"/>
        </w:rPr>
      </w:pPr>
      <w:r w:rsidRPr="00124E41">
        <w:rPr>
          <w:rFonts w:ascii="Arial" w:hAnsi="Arial" w:cs="Arial"/>
          <w:b/>
          <w:bCs/>
          <w:color w:val="000000"/>
          <w:sz w:val="28"/>
          <w:szCs w:val="28"/>
        </w:rPr>
        <w:t xml:space="preserve">ALLMÄNT </w:t>
      </w:r>
    </w:p>
    <w:p w14:paraId="17C952D9" w14:textId="77777777" w:rsidR="00124E41" w:rsidRPr="00295D8E" w:rsidRDefault="00124E41" w:rsidP="00124E41">
      <w:pPr>
        <w:autoSpaceDE w:val="0"/>
        <w:autoSpaceDN w:val="0"/>
        <w:adjustRightInd w:val="0"/>
        <w:spacing w:after="0" w:line="240" w:lineRule="auto"/>
        <w:rPr>
          <w:rFonts w:ascii="Arial" w:hAnsi="Arial" w:cs="Arial"/>
          <w:color w:val="000000"/>
          <w:sz w:val="24"/>
          <w:szCs w:val="24"/>
        </w:rPr>
      </w:pPr>
      <w:r w:rsidRPr="00295D8E">
        <w:rPr>
          <w:rFonts w:ascii="Arial" w:hAnsi="Arial" w:cs="Arial"/>
          <w:color w:val="000000"/>
          <w:sz w:val="24"/>
          <w:szCs w:val="24"/>
        </w:rPr>
        <w:t>All personal som tillhör kategori A ska bära en personlig dosimeter. Mätperioden är 4 veckor. Verksamhetsansvarig i samverkan med strålsäkerhetskommittén följer upp och utreder persondoser vid samtliga verksamheter vid SLU.</w:t>
      </w:r>
    </w:p>
    <w:p w14:paraId="217C05AF" w14:textId="77777777" w:rsidR="00124E41" w:rsidRPr="00295D8E" w:rsidRDefault="00124E41" w:rsidP="00124E41">
      <w:pPr>
        <w:autoSpaceDE w:val="0"/>
        <w:autoSpaceDN w:val="0"/>
        <w:adjustRightInd w:val="0"/>
        <w:spacing w:after="0" w:line="240" w:lineRule="auto"/>
        <w:rPr>
          <w:rFonts w:ascii="Arial" w:hAnsi="Arial" w:cs="Arial"/>
          <w:color w:val="000000"/>
          <w:sz w:val="24"/>
          <w:szCs w:val="24"/>
        </w:rPr>
      </w:pPr>
    </w:p>
    <w:p w14:paraId="2DF2BC8E" w14:textId="2448515B" w:rsidR="00124E41" w:rsidRDefault="00124E41" w:rsidP="00124E41">
      <w:pPr>
        <w:autoSpaceDE w:val="0"/>
        <w:autoSpaceDN w:val="0"/>
        <w:adjustRightInd w:val="0"/>
        <w:spacing w:after="0" w:line="240" w:lineRule="auto"/>
        <w:rPr>
          <w:rFonts w:ascii="Arial" w:hAnsi="Arial" w:cs="Arial"/>
          <w:color w:val="000000"/>
          <w:sz w:val="24"/>
          <w:szCs w:val="24"/>
        </w:rPr>
      </w:pPr>
      <w:r w:rsidRPr="00295D8E">
        <w:rPr>
          <w:rFonts w:ascii="Arial" w:hAnsi="Arial" w:cs="Arial"/>
          <w:color w:val="000000"/>
          <w:sz w:val="24"/>
          <w:szCs w:val="24"/>
        </w:rPr>
        <w:t>I enlighet med Strålsäkerhet</w:t>
      </w:r>
      <w:r w:rsidR="00F47F20" w:rsidRPr="00295D8E">
        <w:rPr>
          <w:rFonts w:ascii="Arial" w:hAnsi="Arial" w:cs="Arial"/>
          <w:color w:val="000000"/>
          <w:sz w:val="24"/>
          <w:szCs w:val="24"/>
        </w:rPr>
        <w:t>smyndighetens föreskrift</w:t>
      </w:r>
      <w:r w:rsidRPr="00295D8E">
        <w:rPr>
          <w:rFonts w:ascii="Arial" w:hAnsi="Arial" w:cs="Arial"/>
          <w:color w:val="000000"/>
          <w:sz w:val="24"/>
          <w:szCs w:val="24"/>
        </w:rPr>
        <w:t xml:space="preserve"> ska delkroppsmätningar utföras om arbetets natur medför risk för särskilt höga doser till ögon eller extremiteter. Mätperioden ska vara 4 veckor. Om kontinuerliga mätningar utgör hinder för arbetets utförande kan enskilda delkroppsmätningar utföras i sådan omfattning att årsdosen kan uppskattas.</w:t>
      </w:r>
    </w:p>
    <w:p w14:paraId="0565E867" w14:textId="319170D0" w:rsidR="00EC082F" w:rsidRDefault="00EC082F" w:rsidP="00124E41">
      <w:pPr>
        <w:autoSpaceDE w:val="0"/>
        <w:autoSpaceDN w:val="0"/>
        <w:adjustRightInd w:val="0"/>
        <w:spacing w:after="0" w:line="240" w:lineRule="auto"/>
        <w:rPr>
          <w:rFonts w:ascii="Arial" w:hAnsi="Arial" w:cs="Arial"/>
          <w:color w:val="000000"/>
          <w:sz w:val="24"/>
          <w:szCs w:val="24"/>
        </w:rPr>
      </w:pPr>
    </w:p>
    <w:p w14:paraId="33A1BAA6" w14:textId="702BFC3D" w:rsidR="00EC082F" w:rsidRPr="00295D8E" w:rsidRDefault="00EC082F" w:rsidP="00124E4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Dessutom skall enl. Strålskyddsförordningen dosrestriktioner upprättas </w:t>
      </w:r>
      <w:r w:rsidRPr="00EC082F">
        <w:rPr>
          <w:rFonts w:ascii="Arial" w:hAnsi="Arial" w:cs="Arial"/>
          <w:color w:val="000000"/>
          <w:sz w:val="24"/>
          <w:szCs w:val="24"/>
        </w:rPr>
        <w:t>för arbetstagare i verksamheten</w:t>
      </w:r>
      <w:r>
        <w:rPr>
          <w:rFonts w:ascii="Arial" w:hAnsi="Arial" w:cs="Arial"/>
          <w:color w:val="000000"/>
          <w:sz w:val="24"/>
          <w:szCs w:val="24"/>
        </w:rPr>
        <w:t xml:space="preserve"> och</w:t>
      </w:r>
      <w:r w:rsidRPr="00EC082F">
        <w:rPr>
          <w:rFonts w:ascii="Arial" w:hAnsi="Arial" w:cs="Arial"/>
          <w:color w:val="000000"/>
          <w:sz w:val="24"/>
          <w:szCs w:val="24"/>
        </w:rPr>
        <w:t xml:space="preserve"> för personer i allmänheten som kan komma att exponeras för strålning från verksamheten</w:t>
      </w:r>
      <w:r>
        <w:rPr>
          <w:rFonts w:ascii="Arial" w:hAnsi="Arial" w:cs="Arial"/>
          <w:color w:val="000000"/>
          <w:sz w:val="24"/>
          <w:szCs w:val="24"/>
        </w:rPr>
        <w:t xml:space="preserve">. Med dosrestriktion menas ett </w:t>
      </w:r>
      <w:r w:rsidRPr="00EC082F">
        <w:rPr>
          <w:rFonts w:ascii="Arial" w:hAnsi="Arial" w:cs="Arial"/>
          <w:color w:val="000000"/>
          <w:sz w:val="24"/>
          <w:szCs w:val="24"/>
        </w:rPr>
        <w:t>värde för stråldos eller aktivitetskoncentration för optimering av strålskyddet</w:t>
      </w:r>
      <w:r>
        <w:rPr>
          <w:rFonts w:ascii="Arial" w:hAnsi="Arial" w:cs="Arial"/>
          <w:color w:val="000000"/>
          <w:sz w:val="24"/>
          <w:szCs w:val="24"/>
        </w:rPr>
        <w:t>. Tabell 2 ger dosrestriktioner för SLU.</w:t>
      </w:r>
      <w:r w:rsidR="00F6464A">
        <w:rPr>
          <w:rFonts w:ascii="Arial" w:hAnsi="Arial" w:cs="Arial"/>
          <w:color w:val="000000"/>
          <w:sz w:val="24"/>
          <w:szCs w:val="24"/>
        </w:rPr>
        <w:t xml:space="preserve"> För de kategorier där dosrestriktioner inte be</w:t>
      </w:r>
      <w:r w:rsidR="008253A0">
        <w:rPr>
          <w:rFonts w:ascii="Arial" w:hAnsi="Arial" w:cs="Arial"/>
          <w:color w:val="000000"/>
          <w:sz w:val="24"/>
          <w:szCs w:val="24"/>
        </w:rPr>
        <w:t>d</w:t>
      </w:r>
      <w:r w:rsidR="00F6464A">
        <w:rPr>
          <w:rFonts w:ascii="Arial" w:hAnsi="Arial" w:cs="Arial"/>
          <w:color w:val="000000"/>
          <w:sz w:val="24"/>
          <w:szCs w:val="24"/>
        </w:rPr>
        <w:t>öms behövas från strålskyddssynpunkt anges ”DR ej relevant”.</w:t>
      </w:r>
    </w:p>
    <w:p w14:paraId="54384CFB" w14:textId="77777777" w:rsidR="00124E41" w:rsidRPr="00295D8E" w:rsidRDefault="00124E41" w:rsidP="00124E41">
      <w:pPr>
        <w:autoSpaceDE w:val="0"/>
        <w:autoSpaceDN w:val="0"/>
        <w:adjustRightInd w:val="0"/>
        <w:spacing w:after="0" w:line="240" w:lineRule="auto"/>
        <w:rPr>
          <w:rFonts w:ascii="Arial" w:hAnsi="Arial" w:cs="Arial"/>
          <w:color w:val="000000"/>
          <w:sz w:val="24"/>
          <w:szCs w:val="24"/>
        </w:rPr>
      </w:pPr>
    </w:p>
    <w:p w14:paraId="0EEE1845" w14:textId="77777777" w:rsidR="00124E41" w:rsidRPr="00124E41" w:rsidRDefault="00124E41" w:rsidP="00124E41">
      <w:pPr>
        <w:autoSpaceDE w:val="0"/>
        <w:autoSpaceDN w:val="0"/>
        <w:adjustRightInd w:val="0"/>
        <w:spacing w:after="0" w:line="240" w:lineRule="auto"/>
        <w:rPr>
          <w:rFonts w:ascii="Arial" w:hAnsi="Arial" w:cs="Arial"/>
          <w:color w:val="000000"/>
        </w:rPr>
      </w:pPr>
      <w:r w:rsidRPr="00124E41">
        <w:rPr>
          <w:rFonts w:ascii="Arial" w:hAnsi="Arial" w:cs="Arial"/>
          <w:b/>
          <w:bCs/>
          <w:color w:val="000000"/>
        </w:rPr>
        <w:t xml:space="preserve">BEDÖMNING AV ÖGON- OCH EXTREMITETSDOSMÄTNINGAR </w:t>
      </w:r>
    </w:p>
    <w:p w14:paraId="5F25D5CC" w14:textId="77777777" w:rsidR="00124E41" w:rsidRPr="00295D8E" w:rsidRDefault="00124E41" w:rsidP="00124E41">
      <w:pPr>
        <w:autoSpaceDE w:val="0"/>
        <w:autoSpaceDN w:val="0"/>
        <w:adjustRightInd w:val="0"/>
        <w:spacing w:after="0" w:line="240" w:lineRule="auto"/>
        <w:rPr>
          <w:rFonts w:ascii="Arial" w:hAnsi="Arial" w:cs="Arial"/>
          <w:color w:val="000000"/>
          <w:sz w:val="24"/>
          <w:szCs w:val="24"/>
        </w:rPr>
      </w:pPr>
      <w:r w:rsidRPr="00295D8E">
        <w:rPr>
          <w:rFonts w:ascii="Arial" w:hAnsi="Arial" w:cs="Arial"/>
          <w:color w:val="000000"/>
          <w:sz w:val="24"/>
          <w:szCs w:val="24"/>
        </w:rPr>
        <w:t>Vid start av ny verksamhet och verksamhetsförändringar ska ögon- och extremitetsdoser bedömas. Bedömningen skall dokumenteras och godkännas av strålsäkerhetskommittén. Strålsäkerhetskommittén har beslutsrätt avseende arbetsplatsmätningar.</w:t>
      </w:r>
    </w:p>
    <w:p w14:paraId="4987DEEE" w14:textId="77777777" w:rsidR="00124E41" w:rsidRPr="00295D8E" w:rsidRDefault="00124E41" w:rsidP="00124E41">
      <w:pPr>
        <w:autoSpaceDE w:val="0"/>
        <w:autoSpaceDN w:val="0"/>
        <w:adjustRightInd w:val="0"/>
        <w:spacing w:after="0" w:line="240" w:lineRule="auto"/>
        <w:rPr>
          <w:rFonts w:ascii="Arial" w:hAnsi="Arial" w:cs="Arial"/>
          <w:color w:val="000000"/>
          <w:sz w:val="24"/>
          <w:szCs w:val="24"/>
        </w:rPr>
      </w:pPr>
    </w:p>
    <w:p w14:paraId="7C8038E8" w14:textId="77777777" w:rsidR="003E6DD7" w:rsidRPr="00295D8E" w:rsidRDefault="00124E41" w:rsidP="00124E41">
      <w:pPr>
        <w:autoSpaceDE w:val="0"/>
        <w:autoSpaceDN w:val="0"/>
        <w:adjustRightInd w:val="0"/>
        <w:spacing w:after="0" w:line="240" w:lineRule="auto"/>
        <w:rPr>
          <w:rFonts w:ascii="Arial" w:hAnsi="Arial" w:cs="Arial"/>
          <w:b/>
          <w:bCs/>
          <w:color w:val="000000"/>
          <w:sz w:val="24"/>
          <w:szCs w:val="24"/>
        </w:rPr>
      </w:pPr>
      <w:r w:rsidRPr="00295D8E">
        <w:rPr>
          <w:rFonts w:ascii="Arial" w:hAnsi="Arial" w:cs="Arial"/>
          <w:color w:val="000000"/>
          <w:sz w:val="24"/>
          <w:szCs w:val="24"/>
        </w:rPr>
        <w:t>Bedömningen behöver inte innebära mätningar på personal om man på annat sätt kan styrka att doserna inte riskerar att överstiga dosgränserna.</w:t>
      </w:r>
    </w:p>
    <w:p w14:paraId="5E14246D" w14:textId="591F8524" w:rsidR="00124E41" w:rsidRDefault="00124E41" w:rsidP="003E6DD7">
      <w:pPr>
        <w:autoSpaceDE w:val="0"/>
        <w:autoSpaceDN w:val="0"/>
        <w:adjustRightInd w:val="0"/>
        <w:spacing w:after="0" w:line="240" w:lineRule="auto"/>
        <w:rPr>
          <w:rFonts w:ascii="Arial" w:hAnsi="Arial" w:cs="Arial"/>
          <w:b/>
          <w:bCs/>
          <w:color w:val="000000"/>
          <w:sz w:val="24"/>
          <w:szCs w:val="24"/>
        </w:rPr>
      </w:pPr>
    </w:p>
    <w:p w14:paraId="29439EAE" w14:textId="77777777" w:rsidR="008253A0" w:rsidRPr="00295D8E" w:rsidRDefault="008253A0" w:rsidP="003E6DD7">
      <w:pPr>
        <w:autoSpaceDE w:val="0"/>
        <w:autoSpaceDN w:val="0"/>
        <w:adjustRightInd w:val="0"/>
        <w:spacing w:after="0" w:line="240" w:lineRule="auto"/>
        <w:rPr>
          <w:rFonts w:ascii="Arial" w:hAnsi="Arial" w:cs="Arial"/>
          <w:b/>
          <w:bCs/>
          <w:color w:val="000000"/>
          <w:sz w:val="24"/>
          <w:szCs w:val="24"/>
        </w:rPr>
      </w:pPr>
    </w:p>
    <w:p w14:paraId="45C64516" w14:textId="77777777" w:rsidR="00124E41" w:rsidRPr="00295D8E" w:rsidRDefault="00124E41" w:rsidP="003E6DD7">
      <w:pPr>
        <w:autoSpaceDE w:val="0"/>
        <w:autoSpaceDN w:val="0"/>
        <w:adjustRightInd w:val="0"/>
        <w:spacing w:after="0" w:line="240" w:lineRule="auto"/>
        <w:rPr>
          <w:rFonts w:ascii="Arial" w:hAnsi="Arial" w:cs="Arial"/>
          <w:b/>
          <w:bCs/>
          <w:color w:val="000000"/>
          <w:sz w:val="24"/>
          <w:szCs w:val="24"/>
        </w:rPr>
      </w:pPr>
    </w:p>
    <w:p w14:paraId="62552E83" w14:textId="77C4965E" w:rsidR="00124E41" w:rsidRPr="00124E41" w:rsidRDefault="00EC082F" w:rsidP="003E6DD7">
      <w:pPr>
        <w:autoSpaceDE w:val="0"/>
        <w:autoSpaceDN w:val="0"/>
        <w:adjustRightInd w:val="0"/>
        <w:spacing w:after="0" w:line="240" w:lineRule="auto"/>
        <w:rPr>
          <w:rFonts w:ascii="Arial" w:hAnsi="Arial" w:cs="Arial"/>
          <w:b/>
          <w:bCs/>
          <w:color w:val="000000"/>
          <w:sz w:val="28"/>
          <w:szCs w:val="28"/>
        </w:rPr>
      </w:pPr>
      <w:r>
        <w:rPr>
          <w:b/>
          <w:bCs/>
          <w:sz w:val="28"/>
          <w:szCs w:val="28"/>
        </w:rPr>
        <w:t xml:space="preserve">TABELL 1. </w:t>
      </w:r>
      <w:r w:rsidR="00124E41" w:rsidRPr="00124E41">
        <w:rPr>
          <w:b/>
          <w:bCs/>
          <w:sz w:val="28"/>
          <w:szCs w:val="28"/>
        </w:rPr>
        <w:t>UTREDNINGSNIVÅER FÖR PERSONAL SOM ARBETAR INOM VERKSAMHETER MED JONISERANDE STRÅLNING</w:t>
      </w:r>
    </w:p>
    <w:p w14:paraId="78E64967" w14:textId="77777777" w:rsidR="00124E41" w:rsidRPr="00124E41" w:rsidRDefault="00124E41" w:rsidP="00124E41">
      <w:pPr>
        <w:autoSpaceDE w:val="0"/>
        <w:autoSpaceDN w:val="0"/>
        <w:adjustRightInd w:val="0"/>
        <w:spacing w:after="0" w:line="240" w:lineRule="auto"/>
        <w:rPr>
          <w:rFonts w:ascii="Arial" w:hAnsi="Arial" w:cs="Arial"/>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tblGrid>
      <w:tr w:rsidR="00124E41" w:rsidRPr="00542FBF" w14:paraId="1425EF68" w14:textId="77777777" w:rsidTr="00542FBF">
        <w:tc>
          <w:tcPr>
            <w:tcW w:w="6374" w:type="dxa"/>
            <w:shd w:val="clear" w:color="auto" w:fill="C6D9F1"/>
          </w:tcPr>
          <w:p w14:paraId="359AF140" w14:textId="77777777" w:rsidR="00124E41" w:rsidRPr="00542FBF" w:rsidRDefault="00124E41" w:rsidP="003A0237">
            <w:pPr>
              <w:pStyle w:val="Default"/>
              <w:rPr>
                <w:b/>
              </w:rPr>
            </w:pPr>
            <w:r w:rsidRPr="00542FBF">
              <w:rPr>
                <w:b/>
              </w:rPr>
              <w:t xml:space="preserve">Förhöjd dos under en 4-veckorsperiod </w:t>
            </w:r>
          </w:p>
        </w:tc>
      </w:tr>
      <w:tr w:rsidR="00124E41" w:rsidRPr="00542FBF" w14:paraId="4C7FF55D" w14:textId="77777777" w:rsidTr="00542FBF">
        <w:tc>
          <w:tcPr>
            <w:tcW w:w="6374" w:type="dxa"/>
            <w:shd w:val="clear" w:color="auto" w:fill="auto"/>
          </w:tcPr>
          <w:p w14:paraId="0E5E2361" w14:textId="77777777" w:rsidR="00124E41" w:rsidRPr="00124E41" w:rsidRDefault="00124E41" w:rsidP="003A0237">
            <w:pPr>
              <w:pStyle w:val="Default"/>
            </w:pPr>
            <w:r w:rsidRPr="00542FBF">
              <w:rPr>
                <w:b/>
                <w:bCs/>
              </w:rPr>
              <w:t xml:space="preserve">Effektiv dos                                                </w:t>
            </w:r>
            <w:proofErr w:type="gramStart"/>
            <w:r w:rsidRPr="00542FBF">
              <w:rPr>
                <w:b/>
                <w:bCs/>
              </w:rPr>
              <w:t xml:space="preserve">  &gt;</w:t>
            </w:r>
            <w:proofErr w:type="gramEnd"/>
            <w:r w:rsidRPr="00542FBF">
              <w:rPr>
                <w:b/>
                <w:bCs/>
              </w:rPr>
              <w:t xml:space="preserve"> 0,5 </w:t>
            </w:r>
            <w:proofErr w:type="spellStart"/>
            <w:r w:rsidRPr="00542FBF">
              <w:rPr>
                <w:b/>
                <w:bCs/>
              </w:rPr>
              <w:t>mSv</w:t>
            </w:r>
            <w:proofErr w:type="spellEnd"/>
            <w:r w:rsidRPr="00542FBF">
              <w:rPr>
                <w:b/>
                <w:bCs/>
              </w:rPr>
              <w:t xml:space="preserve"> </w:t>
            </w:r>
          </w:p>
        </w:tc>
      </w:tr>
      <w:tr w:rsidR="00124E41" w:rsidRPr="00542FBF" w14:paraId="3FCF1C27" w14:textId="77777777" w:rsidTr="00542FBF">
        <w:tc>
          <w:tcPr>
            <w:tcW w:w="6374" w:type="dxa"/>
            <w:shd w:val="clear" w:color="auto" w:fill="auto"/>
          </w:tcPr>
          <w:p w14:paraId="63F4C24E" w14:textId="77777777" w:rsidR="00124E41" w:rsidRPr="00124E41" w:rsidRDefault="00124E41" w:rsidP="003A0237">
            <w:pPr>
              <w:pStyle w:val="Default"/>
            </w:pPr>
            <w:r w:rsidRPr="00542FBF">
              <w:rPr>
                <w:b/>
                <w:bCs/>
              </w:rPr>
              <w:t xml:space="preserve">Ekvivalent dos till </w:t>
            </w:r>
            <w:r w:rsidR="00F47F20">
              <w:rPr>
                <w:b/>
                <w:bCs/>
              </w:rPr>
              <w:t>extremiteter</w:t>
            </w:r>
            <w:r w:rsidR="00F47F20" w:rsidRPr="00542FBF">
              <w:rPr>
                <w:b/>
                <w:bCs/>
              </w:rPr>
              <w:t xml:space="preserve">                </w:t>
            </w:r>
            <w:proofErr w:type="gramStart"/>
            <w:r w:rsidR="00F47F20" w:rsidRPr="00542FBF">
              <w:rPr>
                <w:b/>
                <w:bCs/>
              </w:rPr>
              <w:t xml:space="preserve">  </w:t>
            </w:r>
            <w:r w:rsidRPr="00542FBF">
              <w:rPr>
                <w:b/>
                <w:bCs/>
              </w:rPr>
              <w:t>&gt;</w:t>
            </w:r>
            <w:proofErr w:type="gramEnd"/>
            <w:r w:rsidRPr="00542FBF">
              <w:rPr>
                <w:b/>
                <w:bCs/>
              </w:rPr>
              <w:t xml:space="preserve"> 5 </w:t>
            </w:r>
            <w:proofErr w:type="spellStart"/>
            <w:r w:rsidRPr="00542FBF">
              <w:rPr>
                <w:b/>
                <w:bCs/>
              </w:rPr>
              <w:t>mSv</w:t>
            </w:r>
            <w:proofErr w:type="spellEnd"/>
            <w:r w:rsidRPr="00542FBF">
              <w:rPr>
                <w:b/>
                <w:bCs/>
              </w:rPr>
              <w:t xml:space="preserve"> </w:t>
            </w:r>
          </w:p>
        </w:tc>
      </w:tr>
      <w:tr w:rsidR="00124E41" w:rsidRPr="00542FBF" w14:paraId="1C0B6A38" w14:textId="77777777" w:rsidTr="00542FBF">
        <w:tc>
          <w:tcPr>
            <w:tcW w:w="6374" w:type="dxa"/>
            <w:shd w:val="clear" w:color="auto" w:fill="auto"/>
          </w:tcPr>
          <w:p w14:paraId="0777DAA4" w14:textId="77777777" w:rsidR="00124E41" w:rsidRPr="00124E41" w:rsidRDefault="00124E41" w:rsidP="003A0237">
            <w:pPr>
              <w:pStyle w:val="Default"/>
            </w:pPr>
            <w:r w:rsidRPr="00542FBF">
              <w:rPr>
                <w:b/>
                <w:bCs/>
              </w:rPr>
              <w:t xml:space="preserve">Ekvivalent dos till ögats lins                    </w:t>
            </w:r>
            <w:proofErr w:type="gramStart"/>
            <w:r w:rsidRPr="00542FBF">
              <w:rPr>
                <w:b/>
                <w:bCs/>
              </w:rPr>
              <w:t xml:space="preserve">  &gt;</w:t>
            </w:r>
            <w:proofErr w:type="gramEnd"/>
            <w:r w:rsidRPr="00542FBF">
              <w:rPr>
                <w:b/>
                <w:bCs/>
              </w:rPr>
              <w:t xml:space="preserve"> 0,5 </w:t>
            </w:r>
            <w:proofErr w:type="spellStart"/>
            <w:r w:rsidRPr="00542FBF">
              <w:rPr>
                <w:b/>
                <w:bCs/>
              </w:rPr>
              <w:t>mSv</w:t>
            </w:r>
            <w:proofErr w:type="spellEnd"/>
            <w:r w:rsidRPr="00542FBF">
              <w:rPr>
                <w:b/>
                <w:bCs/>
              </w:rPr>
              <w:t xml:space="preserve"> </w:t>
            </w:r>
          </w:p>
        </w:tc>
      </w:tr>
    </w:tbl>
    <w:p w14:paraId="20320884" w14:textId="222B4291" w:rsidR="00124E41" w:rsidRDefault="00124E41" w:rsidP="00124E41">
      <w:pPr>
        <w:autoSpaceDE w:val="0"/>
        <w:autoSpaceDN w:val="0"/>
        <w:adjustRightInd w:val="0"/>
        <w:spacing w:after="0" w:line="240" w:lineRule="auto"/>
        <w:rPr>
          <w:rFonts w:ascii="Arial" w:hAnsi="Arial" w:cs="Arial"/>
          <w:bCs/>
          <w:color w:val="000000"/>
          <w:sz w:val="24"/>
          <w:szCs w:val="24"/>
        </w:rPr>
      </w:pPr>
    </w:p>
    <w:p w14:paraId="70A587D8" w14:textId="77777777" w:rsidR="008253A0" w:rsidRPr="00124E41" w:rsidRDefault="008253A0" w:rsidP="00124E41">
      <w:pPr>
        <w:autoSpaceDE w:val="0"/>
        <w:autoSpaceDN w:val="0"/>
        <w:adjustRightInd w:val="0"/>
        <w:spacing w:after="0" w:line="240" w:lineRule="auto"/>
        <w:rPr>
          <w:rFonts w:ascii="Arial" w:hAnsi="Arial" w:cs="Arial"/>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tblGrid>
      <w:tr w:rsidR="00124E41" w:rsidRPr="00542FBF" w14:paraId="7BC311EF" w14:textId="77777777" w:rsidTr="00542FBF">
        <w:tc>
          <w:tcPr>
            <w:tcW w:w="6374" w:type="dxa"/>
            <w:shd w:val="clear" w:color="auto" w:fill="C6D9F1"/>
          </w:tcPr>
          <w:p w14:paraId="3A7D80CD" w14:textId="77777777" w:rsidR="00124E41" w:rsidRPr="00542FBF" w:rsidRDefault="00124E41" w:rsidP="00124E41">
            <w:pPr>
              <w:pStyle w:val="Default"/>
              <w:rPr>
                <w:b/>
              </w:rPr>
            </w:pPr>
            <w:r w:rsidRPr="00542FBF">
              <w:rPr>
                <w:b/>
              </w:rPr>
              <w:t xml:space="preserve">Förhöjd dos under kalenderår </w:t>
            </w:r>
          </w:p>
        </w:tc>
      </w:tr>
      <w:tr w:rsidR="00124E41" w:rsidRPr="00542FBF" w14:paraId="18D2EC50" w14:textId="77777777" w:rsidTr="00542FBF">
        <w:tc>
          <w:tcPr>
            <w:tcW w:w="6374" w:type="dxa"/>
            <w:shd w:val="clear" w:color="auto" w:fill="auto"/>
          </w:tcPr>
          <w:p w14:paraId="0593F963" w14:textId="77777777" w:rsidR="00124E41" w:rsidRPr="00124E41" w:rsidRDefault="00124E41" w:rsidP="003A0237">
            <w:pPr>
              <w:pStyle w:val="Default"/>
            </w:pPr>
            <w:r w:rsidRPr="00542FBF">
              <w:rPr>
                <w:b/>
                <w:bCs/>
              </w:rPr>
              <w:t xml:space="preserve">Effektiv dos                                                </w:t>
            </w:r>
            <w:proofErr w:type="gramStart"/>
            <w:r w:rsidRPr="00542FBF">
              <w:rPr>
                <w:b/>
                <w:bCs/>
              </w:rPr>
              <w:t xml:space="preserve">  &gt;</w:t>
            </w:r>
            <w:proofErr w:type="gramEnd"/>
            <w:r w:rsidRPr="00542FBF">
              <w:rPr>
                <w:b/>
                <w:bCs/>
              </w:rPr>
              <w:t xml:space="preserve"> 5 </w:t>
            </w:r>
            <w:proofErr w:type="spellStart"/>
            <w:r w:rsidRPr="00542FBF">
              <w:rPr>
                <w:b/>
                <w:bCs/>
              </w:rPr>
              <w:t>mSv</w:t>
            </w:r>
            <w:proofErr w:type="spellEnd"/>
            <w:r w:rsidRPr="00542FBF">
              <w:rPr>
                <w:b/>
                <w:bCs/>
              </w:rPr>
              <w:t xml:space="preserve"> </w:t>
            </w:r>
          </w:p>
        </w:tc>
      </w:tr>
      <w:tr w:rsidR="00124E41" w:rsidRPr="00542FBF" w14:paraId="6616A70E" w14:textId="77777777" w:rsidTr="00542FBF">
        <w:tc>
          <w:tcPr>
            <w:tcW w:w="6374" w:type="dxa"/>
            <w:shd w:val="clear" w:color="auto" w:fill="auto"/>
          </w:tcPr>
          <w:p w14:paraId="6EC06604" w14:textId="77777777" w:rsidR="00124E41" w:rsidRPr="00124E41" w:rsidRDefault="00F47F20" w:rsidP="00F47F20">
            <w:pPr>
              <w:pStyle w:val="Default"/>
            </w:pPr>
            <w:r>
              <w:rPr>
                <w:b/>
                <w:bCs/>
              </w:rPr>
              <w:t>Ekvivalent dos till extremiteter</w:t>
            </w:r>
            <w:r w:rsidR="00124E41" w:rsidRPr="00542FBF">
              <w:rPr>
                <w:b/>
                <w:bCs/>
              </w:rPr>
              <w:t xml:space="preserve">                </w:t>
            </w:r>
            <w:proofErr w:type="gramStart"/>
            <w:r w:rsidR="00124E41" w:rsidRPr="00542FBF">
              <w:rPr>
                <w:b/>
                <w:bCs/>
              </w:rPr>
              <w:t xml:space="preserve">  &gt;</w:t>
            </w:r>
            <w:proofErr w:type="gramEnd"/>
            <w:r w:rsidR="00124E41" w:rsidRPr="00542FBF">
              <w:rPr>
                <w:b/>
                <w:bCs/>
              </w:rPr>
              <w:t xml:space="preserve"> 50 </w:t>
            </w:r>
            <w:proofErr w:type="spellStart"/>
            <w:r w:rsidR="00124E41" w:rsidRPr="00542FBF">
              <w:rPr>
                <w:b/>
                <w:bCs/>
              </w:rPr>
              <w:t>mSv</w:t>
            </w:r>
            <w:proofErr w:type="spellEnd"/>
            <w:r w:rsidR="00124E41" w:rsidRPr="00542FBF">
              <w:rPr>
                <w:b/>
                <w:bCs/>
              </w:rPr>
              <w:t xml:space="preserve"> </w:t>
            </w:r>
          </w:p>
        </w:tc>
      </w:tr>
      <w:tr w:rsidR="00124E41" w:rsidRPr="00542FBF" w14:paraId="238CC887" w14:textId="77777777" w:rsidTr="00542FBF">
        <w:tc>
          <w:tcPr>
            <w:tcW w:w="6374" w:type="dxa"/>
            <w:shd w:val="clear" w:color="auto" w:fill="auto"/>
          </w:tcPr>
          <w:p w14:paraId="0E13AAD1" w14:textId="77777777" w:rsidR="00124E41" w:rsidRPr="00124E41" w:rsidRDefault="00124E41" w:rsidP="003A0237">
            <w:pPr>
              <w:pStyle w:val="Default"/>
            </w:pPr>
            <w:r w:rsidRPr="00542FBF">
              <w:rPr>
                <w:b/>
                <w:bCs/>
              </w:rPr>
              <w:t xml:space="preserve">Ekvivalent dos till ögats lins                    </w:t>
            </w:r>
            <w:proofErr w:type="gramStart"/>
            <w:r w:rsidRPr="00542FBF">
              <w:rPr>
                <w:b/>
                <w:bCs/>
              </w:rPr>
              <w:t xml:space="preserve">  &gt;</w:t>
            </w:r>
            <w:proofErr w:type="gramEnd"/>
            <w:r w:rsidRPr="00542FBF">
              <w:rPr>
                <w:b/>
                <w:bCs/>
              </w:rPr>
              <w:t xml:space="preserve"> 6 </w:t>
            </w:r>
            <w:proofErr w:type="spellStart"/>
            <w:r w:rsidRPr="00542FBF">
              <w:rPr>
                <w:b/>
                <w:bCs/>
              </w:rPr>
              <w:t>mSv</w:t>
            </w:r>
            <w:proofErr w:type="spellEnd"/>
            <w:r w:rsidRPr="00542FBF">
              <w:rPr>
                <w:b/>
                <w:bCs/>
              </w:rPr>
              <w:t xml:space="preserve"> </w:t>
            </w:r>
          </w:p>
        </w:tc>
      </w:tr>
    </w:tbl>
    <w:p w14:paraId="6AF5AA26" w14:textId="25C503EB" w:rsidR="00124E41" w:rsidRDefault="00124E41" w:rsidP="00124E41">
      <w:pPr>
        <w:autoSpaceDE w:val="0"/>
        <w:autoSpaceDN w:val="0"/>
        <w:adjustRightInd w:val="0"/>
        <w:spacing w:after="0" w:line="240" w:lineRule="auto"/>
        <w:rPr>
          <w:rFonts w:ascii="Arial" w:hAnsi="Arial" w:cs="Arial"/>
          <w:bCs/>
          <w:color w:val="000000"/>
          <w:sz w:val="24"/>
          <w:szCs w:val="24"/>
        </w:rPr>
      </w:pPr>
    </w:p>
    <w:p w14:paraId="1234267D" w14:textId="75B55443" w:rsidR="00F6464A" w:rsidRDefault="00F6464A" w:rsidP="00124E41">
      <w:pPr>
        <w:autoSpaceDE w:val="0"/>
        <w:autoSpaceDN w:val="0"/>
        <w:adjustRightInd w:val="0"/>
        <w:spacing w:after="0" w:line="240" w:lineRule="auto"/>
        <w:rPr>
          <w:rFonts w:ascii="Arial" w:hAnsi="Arial" w:cs="Arial"/>
          <w:bCs/>
          <w:color w:val="000000"/>
          <w:sz w:val="24"/>
          <w:szCs w:val="24"/>
        </w:rPr>
      </w:pPr>
    </w:p>
    <w:p w14:paraId="486E79C9" w14:textId="51430024" w:rsidR="00F6464A" w:rsidRDefault="00F6464A" w:rsidP="00124E41">
      <w:pPr>
        <w:autoSpaceDE w:val="0"/>
        <w:autoSpaceDN w:val="0"/>
        <w:adjustRightInd w:val="0"/>
        <w:spacing w:after="0" w:line="240" w:lineRule="auto"/>
        <w:rPr>
          <w:rFonts w:ascii="Arial" w:hAnsi="Arial" w:cs="Arial"/>
          <w:bCs/>
          <w:color w:val="000000"/>
          <w:sz w:val="24"/>
          <w:szCs w:val="24"/>
        </w:rPr>
      </w:pPr>
    </w:p>
    <w:p w14:paraId="1269430B" w14:textId="6B3DA7ED" w:rsidR="00F6464A" w:rsidRDefault="00F6464A" w:rsidP="00124E41">
      <w:pPr>
        <w:autoSpaceDE w:val="0"/>
        <w:autoSpaceDN w:val="0"/>
        <w:adjustRightInd w:val="0"/>
        <w:spacing w:after="0" w:line="240" w:lineRule="auto"/>
        <w:rPr>
          <w:rFonts w:ascii="Arial" w:hAnsi="Arial" w:cs="Arial"/>
          <w:bCs/>
          <w:color w:val="000000"/>
          <w:sz w:val="24"/>
          <w:szCs w:val="24"/>
        </w:rPr>
      </w:pPr>
    </w:p>
    <w:p w14:paraId="3760325F" w14:textId="00794959" w:rsidR="00F6464A" w:rsidRDefault="00F6464A" w:rsidP="00124E41">
      <w:pPr>
        <w:autoSpaceDE w:val="0"/>
        <w:autoSpaceDN w:val="0"/>
        <w:adjustRightInd w:val="0"/>
        <w:spacing w:after="0" w:line="240" w:lineRule="auto"/>
        <w:rPr>
          <w:rFonts w:ascii="Arial" w:hAnsi="Arial" w:cs="Arial"/>
          <w:bCs/>
          <w:color w:val="000000"/>
          <w:sz w:val="24"/>
          <w:szCs w:val="24"/>
        </w:rPr>
      </w:pPr>
    </w:p>
    <w:p w14:paraId="47FF7ED9" w14:textId="47188AB7" w:rsidR="00F6464A" w:rsidRDefault="00F6464A" w:rsidP="00124E41">
      <w:pPr>
        <w:autoSpaceDE w:val="0"/>
        <w:autoSpaceDN w:val="0"/>
        <w:adjustRightInd w:val="0"/>
        <w:spacing w:after="0" w:line="240" w:lineRule="auto"/>
        <w:rPr>
          <w:rFonts w:ascii="Arial" w:hAnsi="Arial" w:cs="Arial"/>
          <w:bCs/>
          <w:color w:val="000000"/>
          <w:sz w:val="24"/>
          <w:szCs w:val="24"/>
        </w:rPr>
      </w:pPr>
    </w:p>
    <w:p w14:paraId="138E6759" w14:textId="77777777" w:rsidR="008253A0" w:rsidRDefault="008253A0" w:rsidP="00124E41">
      <w:pPr>
        <w:autoSpaceDE w:val="0"/>
        <w:autoSpaceDN w:val="0"/>
        <w:adjustRightInd w:val="0"/>
        <w:spacing w:after="0" w:line="240" w:lineRule="auto"/>
        <w:rPr>
          <w:rFonts w:ascii="Arial" w:hAnsi="Arial" w:cs="Arial"/>
          <w:bCs/>
          <w:color w:val="000000"/>
          <w:sz w:val="24"/>
          <w:szCs w:val="24"/>
        </w:rPr>
      </w:pPr>
    </w:p>
    <w:p w14:paraId="480F465E" w14:textId="1D3B9594" w:rsidR="00F6464A" w:rsidRPr="00124E41" w:rsidRDefault="00F6464A" w:rsidP="00F6464A">
      <w:pPr>
        <w:autoSpaceDE w:val="0"/>
        <w:autoSpaceDN w:val="0"/>
        <w:adjustRightInd w:val="0"/>
        <w:spacing w:after="0" w:line="240" w:lineRule="auto"/>
        <w:rPr>
          <w:rFonts w:ascii="Arial" w:hAnsi="Arial" w:cs="Arial"/>
          <w:b/>
          <w:bCs/>
          <w:color w:val="000000"/>
          <w:sz w:val="28"/>
          <w:szCs w:val="28"/>
        </w:rPr>
      </w:pPr>
      <w:r>
        <w:rPr>
          <w:b/>
          <w:bCs/>
          <w:sz w:val="28"/>
          <w:szCs w:val="28"/>
        </w:rPr>
        <w:t xml:space="preserve">TABELL </w:t>
      </w:r>
      <w:r>
        <w:rPr>
          <w:b/>
          <w:bCs/>
          <w:sz w:val="28"/>
          <w:szCs w:val="28"/>
        </w:rPr>
        <w:t>2</w:t>
      </w:r>
      <w:r>
        <w:rPr>
          <w:b/>
          <w:bCs/>
          <w:sz w:val="28"/>
          <w:szCs w:val="28"/>
        </w:rPr>
        <w:t xml:space="preserve">. </w:t>
      </w:r>
      <w:r>
        <w:rPr>
          <w:b/>
          <w:bCs/>
          <w:sz w:val="28"/>
          <w:szCs w:val="28"/>
        </w:rPr>
        <w:t>DOSRESTIKTIONER</w:t>
      </w:r>
    </w:p>
    <w:p w14:paraId="60C57127" w14:textId="77777777" w:rsidR="00F6464A" w:rsidRPr="00124E41" w:rsidRDefault="00F6464A" w:rsidP="00124E41">
      <w:pPr>
        <w:autoSpaceDE w:val="0"/>
        <w:autoSpaceDN w:val="0"/>
        <w:adjustRightInd w:val="0"/>
        <w:spacing w:after="0" w:line="240" w:lineRule="auto"/>
        <w:rPr>
          <w:rFonts w:ascii="Arial" w:hAnsi="Arial" w:cs="Arial"/>
          <w:bCs/>
          <w:color w:val="000000"/>
          <w:sz w:val="24"/>
          <w:szCs w:val="24"/>
        </w:rPr>
      </w:pPr>
    </w:p>
    <w:tbl>
      <w:tblPr>
        <w:tblW w:w="4808" w:type="pct"/>
        <w:tblCellMar>
          <w:left w:w="70" w:type="dxa"/>
          <w:right w:w="70" w:type="dxa"/>
        </w:tblCellMar>
        <w:tblLook w:val="04A0" w:firstRow="1" w:lastRow="0" w:firstColumn="1" w:lastColumn="0" w:noHBand="0" w:noVBand="1"/>
      </w:tblPr>
      <w:tblGrid>
        <w:gridCol w:w="1501"/>
        <w:gridCol w:w="2397"/>
        <w:gridCol w:w="1807"/>
        <w:gridCol w:w="1591"/>
        <w:gridCol w:w="1562"/>
      </w:tblGrid>
      <w:tr w:rsidR="008253A0" w14:paraId="453D4534" w14:textId="77777777" w:rsidTr="007D0C74">
        <w:trPr>
          <w:trHeight w:val="330"/>
        </w:trPr>
        <w:tc>
          <w:tcPr>
            <w:tcW w:w="847" w:type="pct"/>
            <w:tcBorders>
              <w:top w:val="single" w:sz="4" w:space="0" w:color="auto"/>
              <w:left w:val="single" w:sz="4" w:space="0" w:color="auto"/>
              <w:bottom w:val="single" w:sz="4" w:space="0" w:color="auto"/>
              <w:right w:val="single" w:sz="4" w:space="0" w:color="auto"/>
            </w:tcBorders>
            <w:shd w:val="clear" w:color="auto" w:fill="66FFFF"/>
            <w:vAlign w:val="center"/>
            <w:hideMark/>
          </w:tcPr>
          <w:p w14:paraId="6AD79E2B" w14:textId="77777777" w:rsidR="00F6464A" w:rsidRPr="008253A0" w:rsidRDefault="00F6464A">
            <w:pPr>
              <w:rPr>
                <w:rFonts w:ascii="Arial" w:hAnsi="Arial" w:cs="Arial"/>
                <w:b/>
                <w:bCs/>
                <w:sz w:val="24"/>
                <w:szCs w:val="24"/>
              </w:rPr>
            </w:pPr>
            <w:r w:rsidRPr="008253A0">
              <w:rPr>
                <w:rFonts w:ascii="Arial" w:hAnsi="Arial" w:cs="Arial"/>
                <w:b/>
                <w:bCs/>
                <w:sz w:val="24"/>
                <w:szCs w:val="24"/>
              </w:rPr>
              <w:t>Verksamhet</w:t>
            </w:r>
          </w:p>
        </w:tc>
        <w:tc>
          <w:tcPr>
            <w:tcW w:w="1513" w:type="pct"/>
            <w:tcBorders>
              <w:top w:val="single" w:sz="4" w:space="0" w:color="auto"/>
              <w:left w:val="single" w:sz="4" w:space="0" w:color="auto"/>
              <w:bottom w:val="single" w:sz="4" w:space="0" w:color="auto"/>
              <w:right w:val="single" w:sz="4" w:space="0" w:color="auto"/>
            </w:tcBorders>
            <w:shd w:val="clear" w:color="auto" w:fill="66FFFF"/>
            <w:vAlign w:val="center"/>
            <w:hideMark/>
          </w:tcPr>
          <w:p w14:paraId="6CDBCFBB" w14:textId="77777777" w:rsidR="00F6464A" w:rsidRPr="008253A0" w:rsidRDefault="00F6464A">
            <w:pPr>
              <w:rPr>
                <w:rFonts w:ascii="Arial" w:hAnsi="Arial" w:cs="Arial"/>
                <w:b/>
                <w:bCs/>
                <w:sz w:val="24"/>
                <w:szCs w:val="24"/>
              </w:rPr>
            </w:pPr>
            <w:r w:rsidRPr="008253A0">
              <w:rPr>
                <w:rFonts w:ascii="Arial" w:hAnsi="Arial" w:cs="Arial"/>
                <w:b/>
                <w:bCs/>
                <w:sz w:val="24"/>
                <w:szCs w:val="24"/>
              </w:rPr>
              <w:t>Arbetskategori</w:t>
            </w:r>
          </w:p>
        </w:tc>
        <w:tc>
          <w:tcPr>
            <w:tcW w:w="542" w:type="pct"/>
            <w:tcBorders>
              <w:top w:val="single" w:sz="4" w:space="0" w:color="auto"/>
              <w:left w:val="single" w:sz="4" w:space="0" w:color="auto"/>
              <w:bottom w:val="single" w:sz="4" w:space="0" w:color="auto"/>
              <w:right w:val="single" w:sz="4" w:space="0" w:color="auto"/>
            </w:tcBorders>
            <w:shd w:val="clear" w:color="auto" w:fill="66FFFF"/>
            <w:vAlign w:val="center"/>
            <w:hideMark/>
          </w:tcPr>
          <w:p w14:paraId="47BD195E" w14:textId="77777777" w:rsidR="00F6464A" w:rsidRPr="008253A0" w:rsidRDefault="00F6464A">
            <w:pPr>
              <w:rPr>
                <w:rFonts w:ascii="Arial" w:hAnsi="Arial" w:cs="Arial"/>
                <w:b/>
                <w:bCs/>
                <w:sz w:val="24"/>
                <w:szCs w:val="24"/>
              </w:rPr>
            </w:pPr>
            <w:r w:rsidRPr="008253A0">
              <w:rPr>
                <w:rFonts w:ascii="Arial" w:hAnsi="Arial" w:cs="Arial"/>
                <w:b/>
                <w:bCs/>
                <w:sz w:val="24"/>
                <w:szCs w:val="24"/>
              </w:rPr>
              <w:t>Helkroppsdos </w:t>
            </w:r>
          </w:p>
        </w:tc>
        <w:tc>
          <w:tcPr>
            <w:tcW w:w="1057" w:type="pct"/>
            <w:tcBorders>
              <w:top w:val="single" w:sz="4" w:space="0" w:color="auto"/>
              <w:left w:val="single" w:sz="4" w:space="0" w:color="auto"/>
              <w:bottom w:val="single" w:sz="4" w:space="0" w:color="auto"/>
              <w:right w:val="single" w:sz="4" w:space="0" w:color="auto"/>
            </w:tcBorders>
            <w:shd w:val="clear" w:color="auto" w:fill="66FFFF"/>
            <w:vAlign w:val="center"/>
            <w:hideMark/>
          </w:tcPr>
          <w:p w14:paraId="3C82FC4C" w14:textId="77777777" w:rsidR="00F6464A" w:rsidRPr="008253A0" w:rsidRDefault="00F6464A" w:rsidP="007D0C74">
            <w:pPr>
              <w:jc w:val="center"/>
              <w:rPr>
                <w:rFonts w:ascii="Arial" w:hAnsi="Arial" w:cs="Arial"/>
                <w:b/>
                <w:bCs/>
                <w:sz w:val="24"/>
                <w:szCs w:val="24"/>
              </w:rPr>
            </w:pPr>
            <w:proofErr w:type="spellStart"/>
            <w:r w:rsidRPr="008253A0">
              <w:rPr>
                <w:rFonts w:ascii="Arial" w:hAnsi="Arial" w:cs="Arial"/>
                <w:b/>
                <w:bCs/>
                <w:sz w:val="24"/>
                <w:szCs w:val="24"/>
              </w:rPr>
              <w:t>Ögondos</w:t>
            </w:r>
            <w:proofErr w:type="spellEnd"/>
          </w:p>
        </w:tc>
        <w:tc>
          <w:tcPr>
            <w:tcW w:w="1041" w:type="pct"/>
            <w:tcBorders>
              <w:top w:val="single" w:sz="4" w:space="0" w:color="auto"/>
              <w:left w:val="single" w:sz="4" w:space="0" w:color="auto"/>
              <w:bottom w:val="single" w:sz="4" w:space="0" w:color="auto"/>
              <w:right w:val="single" w:sz="4" w:space="0" w:color="auto"/>
            </w:tcBorders>
            <w:shd w:val="clear" w:color="auto" w:fill="66FFFF"/>
            <w:vAlign w:val="center"/>
            <w:hideMark/>
          </w:tcPr>
          <w:p w14:paraId="0815BE96" w14:textId="77777777" w:rsidR="00F6464A" w:rsidRPr="008253A0" w:rsidRDefault="00F6464A" w:rsidP="007D0C74">
            <w:pPr>
              <w:jc w:val="center"/>
              <w:rPr>
                <w:rFonts w:ascii="Arial" w:hAnsi="Arial" w:cs="Arial"/>
                <w:b/>
                <w:bCs/>
                <w:sz w:val="24"/>
                <w:szCs w:val="24"/>
              </w:rPr>
            </w:pPr>
            <w:r w:rsidRPr="008253A0">
              <w:rPr>
                <w:rFonts w:ascii="Arial" w:hAnsi="Arial" w:cs="Arial"/>
                <w:b/>
                <w:bCs/>
                <w:sz w:val="24"/>
                <w:szCs w:val="24"/>
              </w:rPr>
              <w:t>Fingerdos</w:t>
            </w:r>
          </w:p>
        </w:tc>
      </w:tr>
      <w:tr w:rsidR="008253A0" w14:paraId="5D861EEF" w14:textId="77777777" w:rsidTr="007D0C74">
        <w:trPr>
          <w:trHeight w:val="132"/>
        </w:trPr>
        <w:tc>
          <w:tcPr>
            <w:tcW w:w="8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4A505" w14:textId="77777777" w:rsidR="00F6464A" w:rsidRDefault="00F6464A">
            <w:pPr>
              <w:rPr>
                <w:rFonts w:ascii="Arial" w:hAnsi="Arial" w:cs="Arial"/>
                <w:color w:val="000000"/>
                <w:sz w:val="24"/>
                <w:szCs w:val="24"/>
              </w:rPr>
            </w:pPr>
            <w:r>
              <w:rPr>
                <w:rFonts w:ascii="Arial" w:hAnsi="Arial" w:cs="Arial"/>
                <w:color w:val="000000"/>
                <w:sz w:val="24"/>
                <w:szCs w:val="24"/>
              </w:rPr>
              <w:t> </w:t>
            </w: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B9573" w14:textId="77777777" w:rsidR="00F6464A" w:rsidRDefault="00F6464A">
            <w:pPr>
              <w:rPr>
                <w:rFonts w:ascii="Arial" w:hAnsi="Arial" w:cs="Arial"/>
                <w:color w:val="000000"/>
                <w:sz w:val="24"/>
                <w:szCs w:val="24"/>
              </w:rPr>
            </w:pPr>
            <w:r>
              <w:rPr>
                <w:rFonts w:ascii="Arial" w:hAnsi="Arial" w:cs="Arial"/>
                <w:color w:val="000000"/>
                <w:sz w:val="36"/>
                <w:szCs w:val="36"/>
              </w:rPr>
              <w:t>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10E14" w14:textId="77777777" w:rsidR="00F6464A" w:rsidRDefault="00F6464A" w:rsidP="008253A0">
            <w:pPr>
              <w:jc w:val="center"/>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mSv</w:t>
            </w:r>
            <w:proofErr w:type="spellEnd"/>
            <w:r>
              <w:rPr>
                <w:rFonts w:ascii="Arial" w:hAnsi="Arial" w:cs="Arial"/>
                <w:color w:val="000000"/>
                <w:sz w:val="24"/>
                <w:szCs w:val="24"/>
              </w:rPr>
              <w:t>/år)</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60308" w14:textId="77777777" w:rsidR="00F6464A" w:rsidRDefault="00F6464A" w:rsidP="008253A0">
            <w:pPr>
              <w:jc w:val="center"/>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mSv</w:t>
            </w:r>
            <w:proofErr w:type="spellEnd"/>
            <w:r>
              <w:rPr>
                <w:rFonts w:ascii="Arial" w:hAnsi="Arial" w:cs="Arial"/>
                <w:color w:val="000000"/>
                <w:sz w:val="24"/>
                <w:szCs w:val="24"/>
              </w:rPr>
              <w:t>/år)</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F4E28" w14:textId="77777777" w:rsidR="00F6464A" w:rsidRDefault="00F6464A" w:rsidP="008253A0">
            <w:pPr>
              <w:jc w:val="center"/>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mSv</w:t>
            </w:r>
            <w:proofErr w:type="spellEnd"/>
            <w:r>
              <w:rPr>
                <w:rFonts w:ascii="Arial" w:hAnsi="Arial" w:cs="Arial"/>
                <w:color w:val="000000"/>
                <w:sz w:val="24"/>
                <w:szCs w:val="24"/>
              </w:rPr>
              <w:t>/år)</w:t>
            </w:r>
          </w:p>
        </w:tc>
      </w:tr>
      <w:tr w:rsidR="008253A0" w14:paraId="7DB2C5FD" w14:textId="77777777" w:rsidTr="007D0C74">
        <w:trPr>
          <w:trHeight w:val="534"/>
        </w:trPr>
        <w:tc>
          <w:tcPr>
            <w:tcW w:w="8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64F3D" w14:textId="014BCE2C" w:rsidR="00F6464A" w:rsidRDefault="00F6464A">
            <w:pPr>
              <w:rPr>
                <w:rFonts w:ascii="Arial" w:hAnsi="Arial" w:cs="Arial"/>
                <w:color w:val="000000"/>
                <w:sz w:val="24"/>
                <w:szCs w:val="24"/>
              </w:rPr>
            </w:pPr>
            <w:r>
              <w:rPr>
                <w:rFonts w:ascii="Arial" w:hAnsi="Arial" w:cs="Arial"/>
                <w:color w:val="000000"/>
                <w:sz w:val="24"/>
                <w:szCs w:val="24"/>
              </w:rPr>
              <w:t>UDS</w:t>
            </w: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A92CE" w14:textId="0CE1D887" w:rsidR="00F6464A" w:rsidRDefault="00F6464A">
            <w:pPr>
              <w:rPr>
                <w:rFonts w:ascii="Arial" w:hAnsi="Arial" w:cs="Arial"/>
                <w:color w:val="000000"/>
                <w:sz w:val="24"/>
                <w:szCs w:val="24"/>
              </w:rPr>
            </w:pPr>
            <w:r>
              <w:rPr>
                <w:rFonts w:ascii="Arial" w:hAnsi="Arial" w:cs="Arial"/>
                <w:color w:val="000000"/>
                <w:sz w:val="24"/>
                <w:szCs w:val="24"/>
              </w:rPr>
              <w:t>P</w:t>
            </w:r>
            <w:r>
              <w:rPr>
                <w:rFonts w:ascii="Arial" w:hAnsi="Arial" w:cs="Arial"/>
                <w:color w:val="000000"/>
                <w:sz w:val="24"/>
                <w:szCs w:val="24"/>
              </w:rPr>
              <w:t>ersonal som arbetar med</w:t>
            </w:r>
            <w:r>
              <w:rPr>
                <w:rFonts w:ascii="Arial" w:hAnsi="Arial" w:cs="Arial"/>
                <w:color w:val="000000"/>
                <w:sz w:val="24"/>
                <w:szCs w:val="24"/>
              </w:rPr>
              <w:t xml:space="preserve"> </w:t>
            </w:r>
            <w:r>
              <w:rPr>
                <w:rFonts w:ascii="Arial" w:hAnsi="Arial" w:cs="Arial"/>
                <w:color w:val="000000"/>
                <w:sz w:val="24"/>
                <w:szCs w:val="24"/>
              </w:rPr>
              <w:t>NM</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EB2CB" w14:textId="77777777" w:rsidR="00F6464A" w:rsidRDefault="00F6464A">
            <w:pPr>
              <w:jc w:val="center"/>
              <w:rPr>
                <w:rFonts w:ascii="Arial" w:hAnsi="Arial" w:cs="Arial"/>
                <w:color w:val="000000"/>
                <w:sz w:val="24"/>
                <w:szCs w:val="24"/>
              </w:rPr>
            </w:pPr>
            <w:r>
              <w:rPr>
                <w:rFonts w:ascii="Arial" w:hAnsi="Arial" w:cs="Arial"/>
                <w:color w:val="000000"/>
                <w:sz w:val="24"/>
                <w:szCs w:val="24"/>
              </w:rPr>
              <w:t>3</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DD3F0" w14:textId="77777777" w:rsidR="00F6464A" w:rsidRDefault="00F6464A">
            <w:pPr>
              <w:jc w:val="center"/>
              <w:rPr>
                <w:rFonts w:ascii="Arial" w:hAnsi="Arial" w:cs="Arial"/>
                <w:color w:val="000000"/>
                <w:sz w:val="24"/>
                <w:szCs w:val="24"/>
              </w:rPr>
            </w:pPr>
            <w:r>
              <w:rPr>
                <w:rFonts w:ascii="Arial" w:hAnsi="Arial" w:cs="Arial"/>
                <w:color w:val="000000"/>
                <w:sz w:val="24"/>
                <w:szCs w:val="24"/>
              </w:rPr>
              <w:t>Mätning för att fastslå DR ska utföras</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86EE2" w14:textId="7592A31A" w:rsidR="00F6464A" w:rsidRDefault="00F6464A">
            <w:pPr>
              <w:jc w:val="center"/>
              <w:rPr>
                <w:rFonts w:ascii="Arial" w:hAnsi="Arial" w:cs="Arial"/>
                <w:color w:val="000000"/>
                <w:sz w:val="24"/>
                <w:szCs w:val="24"/>
              </w:rPr>
            </w:pPr>
            <w:r>
              <w:rPr>
                <w:rFonts w:ascii="Arial" w:hAnsi="Arial" w:cs="Arial"/>
                <w:color w:val="000000"/>
                <w:sz w:val="24"/>
                <w:szCs w:val="24"/>
              </w:rPr>
              <w:t>DR kan ej fastställas*</w:t>
            </w:r>
            <w:r w:rsidR="007D0C74">
              <w:rPr>
                <w:rFonts w:ascii="Arial" w:hAnsi="Arial" w:cs="Arial"/>
                <w:color w:val="000000"/>
                <w:sz w:val="24"/>
                <w:szCs w:val="24"/>
              </w:rPr>
              <w:t>*</w:t>
            </w:r>
          </w:p>
        </w:tc>
      </w:tr>
      <w:tr w:rsidR="00F6464A" w14:paraId="1A416CFC" w14:textId="77777777" w:rsidTr="007D0C74">
        <w:trPr>
          <w:trHeight w:val="528"/>
        </w:trPr>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38FF261B" w14:textId="4D931AC9" w:rsidR="00F6464A" w:rsidRDefault="00F6464A">
            <w:pPr>
              <w:rPr>
                <w:rFonts w:ascii="Arial" w:hAnsi="Arial" w:cs="Arial"/>
                <w:color w:val="000000"/>
                <w:sz w:val="24"/>
                <w:szCs w:val="24"/>
              </w:rPr>
            </w:pPr>
            <w:r>
              <w:rPr>
                <w:rFonts w:ascii="Arial" w:hAnsi="Arial" w:cs="Arial"/>
                <w:color w:val="000000"/>
                <w:sz w:val="24"/>
                <w:szCs w:val="24"/>
              </w:rPr>
              <w:t>UDS</w:t>
            </w: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2F65A257" w14:textId="019979D9" w:rsidR="00F6464A" w:rsidRDefault="00F6464A">
            <w:pPr>
              <w:rPr>
                <w:rFonts w:ascii="Arial" w:hAnsi="Arial" w:cs="Arial"/>
                <w:color w:val="000000"/>
                <w:sz w:val="24"/>
                <w:szCs w:val="24"/>
              </w:rPr>
            </w:pPr>
            <w:r>
              <w:rPr>
                <w:rFonts w:ascii="Arial" w:hAnsi="Arial" w:cs="Arial"/>
                <w:color w:val="000000"/>
                <w:sz w:val="24"/>
                <w:szCs w:val="24"/>
              </w:rPr>
              <w:t>All personal som arbetar med NM-terapi</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911B6D9" w14:textId="3AA25694" w:rsidR="00F6464A" w:rsidRDefault="007D0C74">
            <w:pPr>
              <w:jc w:val="center"/>
              <w:rPr>
                <w:rFonts w:ascii="Arial" w:hAnsi="Arial" w:cs="Arial"/>
                <w:color w:val="000000"/>
                <w:sz w:val="24"/>
                <w:szCs w:val="24"/>
              </w:rPr>
            </w:pPr>
            <w:r>
              <w:rPr>
                <w:rFonts w:ascii="Arial" w:hAnsi="Arial" w:cs="Arial"/>
                <w:color w:val="000000"/>
                <w:sz w:val="24"/>
                <w:szCs w:val="24"/>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14:paraId="67A09B77" w14:textId="140A1653" w:rsidR="00F6464A" w:rsidRDefault="008253A0">
            <w:pPr>
              <w:jc w:val="center"/>
              <w:rPr>
                <w:rFonts w:ascii="Arial" w:hAnsi="Arial" w:cs="Arial"/>
                <w:color w:val="000000"/>
                <w:sz w:val="24"/>
                <w:szCs w:val="24"/>
              </w:rPr>
            </w:pPr>
            <w:r>
              <w:rPr>
                <w:rFonts w:ascii="Arial" w:hAnsi="Arial" w:cs="Arial"/>
                <w:color w:val="000000"/>
                <w:sz w:val="24"/>
                <w:szCs w:val="24"/>
              </w:rPr>
              <w:t>Mätning för att fastslå DR ska utföras</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7790F02" w14:textId="1588129C" w:rsidR="00F6464A" w:rsidRDefault="008253A0">
            <w:pPr>
              <w:jc w:val="center"/>
              <w:rPr>
                <w:rFonts w:ascii="Arial" w:hAnsi="Arial" w:cs="Arial"/>
                <w:color w:val="000000"/>
                <w:sz w:val="24"/>
                <w:szCs w:val="24"/>
              </w:rPr>
            </w:pPr>
            <w:r>
              <w:rPr>
                <w:rFonts w:ascii="Arial" w:hAnsi="Arial" w:cs="Arial"/>
                <w:color w:val="000000"/>
                <w:sz w:val="24"/>
                <w:szCs w:val="24"/>
              </w:rPr>
              <w:t>DR kan ej fastställas*</w:t>
            </w:r>
            <w:r w:rsidR="007D0C74">
              <w:rPr>
                <w:rFonts w:ascii="Arial" w:hAnsi="Arial" w:cs="Arial"/>
                <w:color w:val="000000"/>
                <w:sz w:val="24"/>
                <w:szCs w:val="24"/>
              </w:rPr>
              <w:t>*</w:t>
            </w:r>
          </w:p>
        </w:tc>
      </w:tr>
      <w:tr w:rsidR="008253A0" w14:paraId="65749DBA" w14:textId="77777777" w:rsidTr="007D0C74">
        <w:trPr>
          <w:trHeight w:val="528"/>
        </w:trPr>
        <w:tc>
          <w:tcPr>
            <w:tcW w:w="8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27EB5" w14:textId="4F08CC37" w:rsidR="00F6464A" w:rsidRDefault="00F6464A">
            <w:pPr>
              <w:rPr>
                <w:rFonts w:ascii="Arial" w:hAnsi="Arial" w:cs="Arial"/>
                <w:color w:val="000000"/>
                <w:sz w:val="24"/>
                <w:szCs w:val="24"/>
              </w:rPr>
            </w:pPr>
            <w:r>
              <w:rPr>
                <w:rFonts w:ascii="Arial" w:hAnsi="Arial" w:cs="Arial"/>
                <w:color w:val="000000"/>
                <w:sz w:val="24"/>
                <w:szCs w:val="24"/>
              </w:rPr>
              <w:t>UDS</w:t>
            </w: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3D313" w14:textId="77777777" w:rsidR="00F6464A" w:rsidRDefault="00F6464A">
            <w:pPr>
              <w:rPr>
                <w:rFonts w:ascii="Arial" w:hAnsi="Arial" w:cs="Arial"/>
                <w:color w:val="000000"/>
                <w:sz w:val="24"/>
                <w:szCs w:val="24"/>
              </w:rPr>
            </w:pPr>
            <w:r>
              <w:rPr>
                <w:rFonts w:ascii="Arial" w:hAnsi="Arial" w:cs="Arial"/>
                <w:color w:val="000000"/>
                <w:sz w:val="24"/>
                <w:szCs w:val="24"/>
              </w:rPr>
              <w:t>All personal som arbetar med röntgen, inklusive C-bågar</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55A44" w14:textId="77777777" w:rsidR="00F6464A" w:rsidRDefault="00F6464A">
            <w:pPr>
              <w:jc w:val="center"/>
              <w:rPr>
                <w:rFonts w:ascii="Arial" w:hAnsi="Arial" w:cs="Arial"/>
                <w:color w:val="000000"/>
                <w:sz w:val="24"/>
                <w:szCs w:val="24"/>
              </w:rPr>
            </w:pPr>
            <w:r>
              <w:rPr>
                <w:rFonts w:ascii="Arial" w:hAnsi="Arial" w:cs="Arial"/>
                <w:color w:val="000000"/>
                <w:sz w:val="24"/>
                <w:szCs w:val="24"/>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4BECB" w14:textId="7B6E960E" w:rsidR="00F6464A" w:rsidRDefault="00F6464A">
            <w:pPr>
              <w:jc w:val="center"/>
              <w:rPr>
                <w:rFonts w:ascii="Arial" w:hAnsi="Arial" w:cs="Arial"/>
                <w:color w:val="000000"/>
                <w:sz w:val="24"/>
                <w:szCs w:val="24"/>
              </w:rPr>
            </w:pPr>
            <w:r>
              <w:rPr>
                <w:rFonts w:ascii="Arial" w:hAnsi="Arial" w:cs="Arial"/>
                <w:color w:val="000000"/>
                <w:sz w:val="24"/>
                <w:szCs w:val="24"/>
              </w:rPr>
              <w:t>DR ej relevant</w:t>
            </w:r>
            <w:r w:rsidR="007D0C74">
              <w:rPr>
                <w:rFonts w:ascii="Arial" w:hAnsi="Arial" w:cs="Arial"/>
                <w:color w:val="000000"/>
                <w:sz w:val="24"/>
                <w:szCs w:val="24"/>
              </w:rPr>
              <w:t>*</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82E4A" w14:textId="203EAF62" w:rsidR="00F6464A" w:rsidRDefault="00F6464A">
            <w:pPr>
              <w:jc w:val="center"/>
              <w:rPr>
                <w:rFonts w:ascii="Arial" w:hAnsi="Arial" w:cs="Arial"/>
                <w:color w:val="000000"/>
                <w:sz w:val="24"/>
                <w:szCs w:val="24"/>
              </w:rPr>
            </w:pPr>
            <w:r>
              <w:rPr>
                <w:rFonts w:ascii="Arial" w:hAnsi="Arial" w:cs="Arial"/>
                <w:color w:val="000000"/>
                <w:sz w:val="24"/>
                <w:szCs w:val="24"/>
              </w:rPr>
              <w:t>DR kan ej fastställas*</w:t>
            </w:r>
            <w:r w:rsidR="007D0C74">
              <w:rPr>
                <w:rFonts w:ascii="Arial" w:hAnsi="Arial" w:cs="Arial"/>
                <w:color w:val="000000"/>
                <w:sz w:val="24"/>
                <w:szCs w:val="24"/>
              </w:rPr>
              <w:t>*</w:t>
            </w:r>
          </w:p>
        </w:tc>
      </w:tr>
      <w:tr w:rsidR="008253A0" w14:paraId="43766851" w14:textId="77777777" w:rsidTr="007D0C74">
        <w:trPr>
          <w:trHeight w:val="315"/>
        </w:trPr>
        <w:tc>
          <w:tcPr>
            <w:tcW w:w="8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63568" w14:textId="1597E742" w:rsidR="00F6464A" w:rsidRDefault="00F6464A">
            <w:pPr>
              <w:rPr>
                <w:rFonts w:ascii="Arial" w:hAnsi="Arial" w:cs="Arial"/>
                <w:color w:val="000000"/>
                <w:sz w:val="24"/>
                <w:szCs w:val="24"/>
              </w:rPr>
            </w:pPr>
            <w:r>
              <w:rPr>
                <w:rFonts w:ascii="Arial" w:hAnsi="Arial" w:cs="Arial"/>
                <w:color w:val="000000"/>
                <w:sz w:val="24"/>
                <w:szCs w:val="24"/>
              </w:rPr>
              <w:t>Institutioner</w:t>
            </w: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B9EB7" w14:textId="77777777" w:rsidR="00F6464A" w:rsidRDefault="00F6464A">
            <w:pPr>
              <w:rPr>
                <w:rFonts w:ascii="Arial" w:hAnsi="Arial" w:cs="Arial"/>
                <w:color w:val="000000"/>
                <w:sz w:val="24"/>
                <w:szCs w:val="24"/>
              </w:rPr>
            </w:pPr>
            <w:r>
              <w:rPr>
                <w:rFonts w:ascii="Arial" w:hAnsi="Arial" w:cs="Arial"/>
                <w:color w:val="000000"/>
                <w:sz w:val="24"/>
                <w:szCs w:val="24"/>
              </w:rPr>
              <w:t>All personal</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49458" w14:textId="2274CABE" w:rsidR="00F6464A" w:rsidRDefault="00F6464A">
            <w:pPr>
              <w:jc w:val="center"/>
              <w:rPr>
                <w:rFonts w:ascii="Arial" w:hAnsi="Arial" w:cs="Arial"/>
                <w:color w:val="000000"/>
                <w:sz w:val="24"/>
                <w:szCs w:val="24"/>
              </w:rPr>
            </w:pPr>
            <w:r>
              <w:rPr>
                <w:rFonts w:ascii="Arial" w:hAnsi="Arial" w:cs="Arial"/>
                <w:color w:val="000000"/>
                <w:sz w:val="24"/>
                <w:szCs w:val="24"/>
              </w:rPr>
              <w:t>DR ej relevant</w:t>
            </w:r>
            <w:r w:rsidR="007D0C74">
              <w:rPr>
                <w:rFonts w:ascii="Arial" w:hAnsi="Arial" w:cs="Arial"/>
                <w:color w:val="000000"/>
                <w:sz w:val="24"/>
                <w:szCs w:val="24"/>
              </w:rPr>
              <w:t>*</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BC0D8" w14:textId="5C7F8095" w:rsidR="00F6464A" w:rsidRDefault="00F6464A">
            <w:pPr>
              <w:jc w:val="center"/>
              <w:rPr>
                <w:rFonts w:ascii="Arial" w:hAnsi="Arial" w:cs="Arial"/>
                <w:color w:val="000000"/>
                <w:sz w:val="24"/>
                <w:szCs w:val="24"/>
              </w:rPr>
            </w:pPr>
            <w:r>
              <w:rPr>
                <w:rFonts w:ascii="Arial" w:hAnsi="Arial" w:cs="Arial"/>
                <w:color w:val="000000"/>
                <w:sz w:val="24"/>
                <w:szCs w:val="24"/>
              </w:rPr>
              <w:t>DR ej relevant</w:t>
            </w:r>
            <w:r w:rsidR="007D0C74">
              <w:rPr>
                <w:rFonts w:ascii="Arial" w:hAnsi="Arial" w:cs="Arial"/>
                <w:color w:val="000000"/>
                <w:sz w:val="24"/>
                <w:szCs w:val="24"/>
              </w:rPr>
              <w:t>*</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2063F" w14:textId="1FDB0BBC" w:rsidR="00F6464A" w:rsidRDefault="008253A0">
            <w:pPr>
              <w:jc w:val="center"/>
              <w:rPr>
                <w:rFonts w:ascii="Arial" w:hAnsi="Arial" w:cs="Arial"/>
                <w:color w:val="000000"/>
                <w:sz w:val="24"/>
                <w:szCs w:val="24"/>
              </w:rPr>
            </w:pPr>
            <w:r>
              <w:rPr>
                <w:rFonts w:ascii="Arial" w:hAnsi="Arial" w:cs="Arial"/>
                <w:color w:val="000000"/>
                <w:sz w:val="24"/>
                <w:szCs w:val="24"/>
              </w:rPr>
              <w:t>DR kan ej fastställas*</w:t>
            </w:r>
            <w:r w:rsidR="007D0C74">
              <w:rPr>
                <w:rFonts w:ascii="Arial" w:hAnsi="Arial" w:cs="Arial"/>
                <w:color w:val="000000"/>
                <w:sz w:val="24"/>
                <w:szCs w:val="24"/>
              </w:rPr>
              <w:t>*</w:t>
            </w:r>
          </w:p>
        </w:tc>
      </w:tr>
    </w:tbl>
    <w:p w14:paraId="7AD610FA" w14:textId="4F4C2F77" w:rsidR="007D0C74" w:rsidRDefault="007D0C74">
      <w:pPr>
        <w:rPr>
          <w:sz w:val="24"/>
          <w:szCs w:val="24"/>
        </w:rPr>
      </w:pPr>
      <w:r>
        <w:rPr>
          <w:sz w:val="24"/>
          <w:szCs w:val="24"/>
        </w:rPr>
        <w:br/>
        <w:t>*</w:t>
      </w:r>
      <w:r w:rsidRPr="007D0C74">
        <w:rPr>
          <w:rFonts w:ascii="Arial" w:hAnsi="Arial" w:cs="Arial"/>
          <w:color w:val="000000"/>
          <w:sz w:val="24"/>
          <w:szCs w:val="24"/>
        </w:rPr>
        <w:t xml:space="preserve"> </w:t>
      </w:r>
      <w:r>
        <w:rPr>
          <w:rFonts w:ascii="Arial" w:hAnsi="Arial" w:cs="Arial"/>
          <w:color w:val="000000"/>
          <w:sz w:val="24"/>
          <w:szCs w:val="24"/>
        </w:rPr>
        <w:t>D</w:t>
      </w:r>
      <w:r>
        <w:rPr>
          <w:rFonts w:ascii="Arial" w:hAnsi="Arial" w:cs="Arial"/>
          <w:color w:val="000000"/>
          <w:sz w:val="24"/>
          <w:szCs w:val="24"/>
        </w:rPr>
        <w:t>osrestriktioner bedöms</w:t>
      </w:r>
      <w:r>
        <w:rPr>
          <w:rFonts w:ascii="Arial" w:hAnsi="Arial" w:cs="Arial"/>
          <w:color w:val="000000"/>
          <w:sz w:val="24"/>
          <w:szCs w:val="24"/>
        </w:rPr>
        <w:t xml:space="preserve"> inte</w:t>
      </w:r>
      <w:r>
        <w:rPr>
          <w:rFonts w:ascii="Arial" w:hAnsi="Arial" w:cs="Arial"/>
          <w:color w:val="000000"/>
          <w:sz w:val="24"/>
          <w:szCs w:val="24"/>
        </w:rPr>
        <w:t xml:space="preserve"> behövas från strålskyddssynpunkt.</w:t>
      </w:r>
    </w:p>
    <w:p w14:paraId="56893CEB" w14:textId="27610010" w:rsidR="007D0C74" w:rsidRDefault="008253A0" w:rsidP="008253A0">
      <w:pPr>
        <w:rPr>
          <w:rFonts w:ascii="Arial" w:hAnsi="Arial" w:cs="Arial"/>
          <w:sz w:val="24"/>
          <w:szCs w:val="24"/>
        </w:rPr>
      </w:pPr>
      <w:r>
        <w:rPr>
          <w:rFonts w:ascii="Arial" w:hAnsi="Arial" w:cs="Arial"/>
          <w:sz w:val="24"/>
          <w:szCs w:val="24"/>
        </w:rPr>
        <w:t>*</w:t>
      </w:r>
      <w:r w:rsidR="007D0C74">
        <w:rPr>
          <w:rFonts w:ascii="Arial" w:hAnsi="Arial" w:cs="Arial"/>
          <w:sz w:val="24"/>
          <w:szCs w:val="24"/>
        </w:rPr>
        <w:t xml:space="preserve">* </w:t>
      </w:r>
      <w:r w:rsidRPr="008253A0">
        <w:rPr>
          <w:rFonts w:ascii="Arial" w:hAnsi="Arial" w:cs="Arial"/>
          <w:sz w:val="24"/>
          <w:szCs w:val="24"/>
        </w:rPr>
        <w:t xml:space="preserve">DR går ej att fastställa </w:t>
      </w:r>
      <w:proofErr w:type="spellStart"/>
      <w:r w:rsidRPr="008253A0">
        <w:rPr>
          <w:rFonts w:ascii="Arial" w:hAnsi="Arial" w:cs="Arial"/>
          <w:sz w:val="24"/>
          <w:szCs w:val="24"/>
        </w:rPr>
        <w:t>p</w:t>
      </w:r>
      <w:r w:rsidR="007D0C74">
        <w:rPr>
          <w:rFonts w:ascii="Arial" w:hAnsi="Arial" w:cs="Arial"/>
          <w:sz w:val="24"/>
          <w:szCs w:val="24"/>
        </w:rPr>
        <w:t>.</w:t>
      </w:r>
      <w:r w:rsidRPr="008253A0">
        <w:rPr>
          <w:rFonts w:ascii="Arial" w:hAnsi="Arial" w:cs="Arial"/>
          <w:sz w:val="24"/>
          <w:szCs w:val="24"/>
        </w:rPr>
        <w:t>g</w:t>
      </w:r>
      <w:r w:rsidR="007D0C74">
        <w:rPr>
          <w:rFonts w:ascii="Arial" w:hAnsi="Arial" w:cs="Arial"/>
          <w:sz w:val="24"/>
          <w:szCs w:val="24"/>
        </w:rPr>
        <w:t>.</w:t>
      </w:r>
      <w:r w:rsidRPr="008253A0">
        <w:rPr>
          <w:rFonts w:ascii="Arial" w:hAnsi="Arial" w:cs="Arial"/>
          <w:sz w:val="24"/>
          <w:szCs w:val="24"/>
        </w:rPr>
        <w:t>a</w:t>
      </w:r>
      <w:proofErr w:type="spellEnd"/>
      <w:r w:rsidRPr="008253A0">
        <w:rPr>
          <w:rFonts w:ascii="Arial" w:hAnsi="Arial" w:cs="Arial"/>
          <w:sz w:val="24"/>
          <w:szCs w:val="24"/>
        </w:rPr>
        <w:t xml:space="preserve"> hygienaspekten, </w:t>
      </w:r>
      <w:r w:rsidR="007D0C74">
        <w:rPr>
          <w:rFonts w:ascii="Arial" w:hAnsi="Arial" w:cs="Arial"/>
          <w:sz w:val="24"/>
          <w:szCs w:val="24"/>
        </w:rPr>
        <w:t>stråldosen</w:t>
      </w:r>
      <w:r w:rsidRPr="008253A0">
        <w:rPr>
          <w:rFonts w:ascii="Arial" w:hAnsi="Arial" w:cs="Arial"/>
          <w:sz w:val="24"/>
          <w:szCs w:val="24"/>
        </w:rPr>
        <w:t xml:space="preserve"> kan inte mäta</w:t>
      </w:r>
      <w:r w:rsidR="007D0C74">
        <w:rPr>
          <w:rFonts w:ascii="Arial" w:hAnsi="Arial" w:cs="Arial"/>
          <w:sz w:val="24"/>
          <w:szCs w:val="24"/>
        </w:rPr>
        <w:t>s</w:t>
      </w:r>
      <w:r w:rsidRPr="008253A0">
        <w:rPr>
          <w:rFonts w:ascii="Arial" w:hAnsi="Arial" w:cs="Arial"/>
          <w:sz w:val="24"/>
          <w:szCs w:val="24"/>
        </w:rPr>
        <w:t>/beräkna</w:t>
      </w:r>
      <w:r w:rsidR="007D0C74">
        <w:rPr>
          <w:rFonts w:ascii="Arial" w:hAnsi="Arial" w:cs="Arial"/>
          <w:sz w:val="24"/>
          <w:szCs w:val="24"/>
        </w:rPr>
        <w:t>s</w:t>
      </w:r>
      <w:r w:rsidRPr="008253A0">
        <w:rPr>
          <w:rFonts w:ascii="Arial" w:hAnsi="Arial" w:cs="Arial"/>
          <w:sz w:val="24"/>
          <w:szCs w:val="24"/>
        </w:rPr>
        <w:t xml:space="preserve"> på ett adekvat sätt</w:t>
      </w:r>
      <w:r w:rsidR="007D0C74">
        <w:rPr>
          <w:rFonts w:ascii="Arial" w:hAnsi="Arial" w:cs="Arial"/>
          <w:sz w:val="24"/>
          <w:szCs w:val="24"/>
        </w:rPr>
        <w:t>.</w:t>
      </w:r>
    </w:p>
    <w:p w14:paraId="284AADB1" w14:textId="77777777" w:rsidR="007D0C74" w:rsidRDefault="007D0C74" w:rsidP="008253A0">
      <w:pPr>
        <w:rPr>
          <w:rFonts w:ascii="Arial" w:hAnsi="Arial" w:cs="Arial"/>
          <w:sz w:val="24"/>
          <w:szCs w:val="24"/>
        </w:rPr>
      </w:pPr>
    </w:p>
    <w:p w14:paraId="63134BA7" w14:textId="253F6608" w:rsidR="00124E41" w:rsidRPr="008253A0" w:rsidRDefault="007D0C74" w:rsidP="008253A0">
      <w:pPr>
        <w:rPr>
          <w:rFonts w:ascii="Arial" w:hAnsi="Arial" w:cs="Arial"/>
          <w:sz w:val="24"/>
          <w:szCs w:val="24"/>
        </w:rPr>
      </w:pPr>
      <w:r w:rsidRPr="007D0C74">
        <w:rPr>
          <w:rFonts w:ascii="Arial" w:hAnsi="Arial" w:cs="Arial"/>
          <w:sz w:val="24"/>
          <w:szCs w:val="24"/>
        </w:rPr>
        <w:t xml:space="preserve">För personer i allmänheten </w:t>
      </w:r>
      <w:r>
        <w:rPr>
          <w:rFonts w:ascii="Arial" w:hAnsi="Arial" w:cs="Arial"/>
          <w:sz w:val="24"/>
          <w:szCs w:val="24"/>
        </w:rPr>
        <w:t xml:space="preserve">är </w:t>
      </w:r>
      <w:r w:rsidRPr="007D0C74">
        <w:rPr>
          <w:rFonts w:ascii="Arial" w:hAnsi="Arial" w:cs="Arial"/>
          <w:sz w:val="24"/>
          <w:szCs w:val="24"/>
        </w:rPr>
        <w:t>dosrestriktion</w:t>
      </w:r>
      <w:r>
        <w:rPr>
          <w:rFonts w:ascii="Arial" w:hAnsi="Arial" w:cs="Arial"/>
          <w:sz w:val="24"/>
          <w:szCs w:val="24"/>
        </w:rPr>
        <w:t>en,</w:t>
      </w:r>
      <w:r w:rsidRPr="007D0C74">
        <w:rPr>
          <w:rFonts w:ascii="Arial" w:hAnsi="Arial" w:cs="Arial"/>
          <w:sz w:val="24"/>
          <w:szCs w:val="24"/>
        </w:rPr>
        <w:t xml:space="preserve"> angiven </w:t>
      </w:r>
      <w:r>
        <w:rPr>
          <w:rFonts w:ascii="Arial" w:hAnsi="Arial" w:cs="Arial"/>
          <w:sz w:val="24"/>
          <w:szCs w:val="24"/>
        </w:rPr>
        <w:t>som</w:t>
      </w:r>
      <w:r w:rsidRPr="007D0C74">
        <w:rPr>
          <w:rFonts w:ascii="Arial" w:hAnsi="Arial" w:cs="Arial"/>
          <w:sz w:val="24"/>
          <w:szCs w:val="24"/>
        </w:rPr>
        <w:t xml:space="preserve"> effektiv dos</w:t>
      </w:r>
      <w:r>
        <w:rPr>
          <w:rFonts w:ascii="Arial" w:hAnsi="Arial" w:cs="Arial"/>
          <w:sz w:val="24"/>
          <w:szCs w:val="24"/>
        </w:rPr>
        <w:t>,</w:t>
      </w:r>
      <w:r w:rsidRPr="007D0C74">
        <w:rPr>
          <w:rFonts w:ascii="Arial" w:hAnsi="Arial" w:cs="Arial"/>
          <w:sz w:val="24"/>
          <w:szCs w:val="24"/>
        </w:rPr>
        <w:t xml:space="preserve"> 0,1 </w:t>
      </w:r>
      <w:proofErr w:type="spellStart"/>
      <w:r w:rsidRPr="007D0C74">
        <w:rPr>
          <w:rFonts w:ascii="Arial" w:hAnsi="Arial" w:cs="Arial"/>
          <w:sz w:val="24"/>
          <w:szCs w:val="24"/>
        </w:rPr>
        <w:t>m</w:t>
      </w:r>
      <w:r>
        <w:rPr>
          <w:rFonts w:ascii="Arial" w:hAnsi="Arial" w:cs="Arial"/>
          <w:sz w:val="24"/>
          <w:szCs w:val="24"/>
        </w:rPr>
        <w:t>Sv</w:t>
      </w:r>
      <w:proofErr w:type="spellEnd"/>
      <w:r>
        <w:rPr>
          <w:rFonts w:ascii="Arial" w:hAnsi="Arial" w:cs="Arial"/>
          <w:sz w:val="24"/>
          <w:szCs w:val="24"/>
        </w:rPr>
        <w:t xml:space="preserve"> per </w:t>
      </w:r>
      <w:r w:rsidRPr="007D0C74">
        <w:rPr>
          <w:rFonts w:ascii="Arial" w:hAnsi="Arial" w:cs="Arial"/>
          <w:sz w:val="24"/>
          <w:szCs w:val="24"/>
        </w:rPr>
        <w:t>år och per verksamhet med joniserande strålning</w:t>
      </w:r>
      <w:r>
        <w:rPr>
          <w:rFonts w:ascii="Arial" w:hAnsi="Arial" w:cs="Arial"/>
          <w:sz w:val="24"/>
          <w:szCs w:val="24"/>
        </w:rPr>
        <w:t>.</w:t>
      </w:r>
      <w:r w:rsidR="00124E41" w:rsidRPr="008253A0">
        <w:rPr>
          <w:rFonts w:ascii="Arial" w:hAnsi="Arial" w:cs="Arial"/>
          <w:sz w:val="24"/>
          <w:szCs w:val="24"/>
        </w:rPr>
        <w:br w:type="page"/>
      </w:r>
    </w:p>
    <w:p w14:paraId="764A2965" w14:textId="77777777" w:rsidR="000A20C7" w:rsidRPr="000A20C7" w:rsidRDefault="000A20C7" w:rsidP="000A20C7">
      <w:pPr>
        <w:pStyle w:val="Default"/>
      </w:pPr>
      <w:r w:rsidRPr="000A20C7">
        <w:rPr>
          <w:b/>
          <w:bCs/>
        </w:rPr>
        <w:t xml:space="preserve">ÅTGÄRDER VID DOSREGISTRERINGSRESULTAT - UTREDNINGSNIVÅ FÖR 4-VECKORS PERIODVERKSAMHETSANSVARIG OCH KALENDERÅR </w:t>
      </w:r>
    </w:p>
    <w:p w14:paraId="1622FED5" w14:textId="77777777" w:rsidR="000A20C7" w:rsidRPr="000A20C7" w:rsidRDefault="000A20C7" w:rsidP="000A20C7">
      <w:pPr>
        <w:pStyle w:val="Default"/>
        <w:numPr>
          <w:ilvl w:val="0"/>
          <w:numId w:val="24"/>
        </w:numPr>
      </w:pPr>
      <w:r w:rsidRPr="000A20C7">
        <w:t xml:space="preserve">Om stråldosen överstiger utredningsnivån under en 4-veckorsperiod eller för ett kalenderår utreds orsaken av verksamhetsansvarig i samråd med strålsäkerhetskommittén. </w:t>
      </w:r>
    </w:p>
    <w:p w14:paraId="5796DDA9" w14:textId="77777777" w:rsidR="000A20C7" w:rsidRPr="000A20C7" w:rsidRDefault="000A20C7" w:rsidP="000A20C7">
      <w:pPr>
        <w:pStyle w:val="Default"/>
      </w:pPr>
    </w:p>
    <w:p w14:paraId="51C283A5" w14:textId="77777777" w:rsidR="000A20C7" w:rsidRPr="000A20C7" w:rsidRDefault="000A20C7" w:rsidP="00615CF5">
      <w:pPr>
        <w:pStyle w:val="Default"/>
        <w:numPr>
          <w:ilvl w:val="0"/>
          <w:numId w:val="24"/>
        </w:numPr>
        <w:ind w:left="1134"/>
      </w:pPr>
      <w:r w:rsidRPr="000A20C7">
        <w:t>Beslut om behov av handlingsplan fat</w:t>
      </w:r>
      <w:r w:rsidR="007913C3">
        <w:t xml:space="preserve">tas av strålsäkerhetskommittén. </w:t>
      </w:r>
      <w:r w:rsidRPr="000A20C7">
        <w:t>Handlingsplan</w:t>
      </w:r>
      <w:r w:rsidR="007913C3">
        <w:t>en</w:t>
      </w:r>
      <w:r w:rsidRPr="000A20C7">
        <w:t xml:space="preserve"> utarbetas av verksamhetsansvarig i samråd med strålsäkerhetskommittén och berörd verksamhet</w:t>
      </w:r>
      <w:r w:rsidR="007913C3">
        <w:t>. Den u</w:t>
      </w:r>
      <w:r w:rsidRPr="000A20C7">
        <w:t>pprättad</w:t>
      </w:r>
      <w:r w:rsidR="007913C3">
        <w:t>e</w:t>
      </w:r>
      <w:r w:rsidRPr="000A20C7">
        <w:t xml:space="preserve"> handlingsplan</w:t>
      </w:r>
      <w:r w:rsidR="007913C3">
        <w:t>en skall</w:t>
      </w:r>
      <w:r w:rsidRPr="000A20C7">
        <w:t xml:space="preserve"> godkänn</w:t>
      </w:r>
      <w:r w:rsidR="007913C3">
        <w:t>a</w:t>
      </w:r>
      <w:r w:rsidRPr="000A20C7">
        <w:t>s av strålsäkerhetskommittén</w:t>
      </w:r>
      <w:r w:rsidR="007913C3">
        <w:t>.</w:t>
      </w:r>
      <w:r w:rsidRPr="000A20C7">
        <w:t xml:space="preserve"> </w:t>
      </w:r>
    </w:p>
    <w:p w14:paraId="2E413652" w14:textId="77777777" w:rsidR="000A20C7" w:rsidRPr="000A20C7" w:rsidRDefault="000A20C7" w:rsidP="007913C3">
      <w:pPr>
        <w:pStyle w:val="Default"/>
        <w:ind w:left="1134"/>
      </w:pPr>
      <w:r w:rsidRPr="000A20C7">
        <w:t xml:space="preserve">Verksamhetsansvarig </w:t>
      </w:r>
      <w:r w:rsidR="007913C3">
        <w:t>skall förankra</w:t>
      </w:r>
      <w:r w:rsidRPr="000A20C7">
        <w:t xml:space="preserve"> handlingsplanen med berörd persona</w:t>
      </w:r>
      <w:r w:rsidR="007913C3">
        <w:t xml:space="preserve">l och vid behov med dennes chef. </w:t>
      </w:r>
      <w:r w:rsidRPr="000A20C7">
        <w:t xml:space="preserve">Berörd verksamhetschef ansvarar för att </w:t>
      </w:r>
      <w:r w:rsidR="007913C3">
        <w:t xml:space="preserve">den </w:t>
      </w:r>
      <w:r w:rsidRPr="000A20C7">
        <w:t>upprättad</w:t>
      </w:r>
      <w:r w:rsidR="007913C3">
        <w:t>e</w:t>
      </w:r>
      <w:r w:rsidRPr="000A20C7">
        <w:t xml:space="preserve"> handlingsplan</w:t>
      </w:r>
      <w:r w:rsidR="007913C3">
        <w:t>en</w:t>
      </w:r>
      <w:r w:rsidRPr="000A20C7">
        <w:t xml:space="preserve"> genomförs</w:t>
      </w:r>
      <w:r w:rsidR="007913C3">
        <w:t>.</w:t>
      </w:r>
      <w:r w:rsidRPr="000A20C7">
        <w:t xml:space="preserve"> </w:t>
      </w:r>
    </w:p>
    <w:p w14:paraId="16CDB86A" w14:textId="77777777" w:rsidR="000A20C7" w:rsidRPr="000A20C7" w:rsidRDefault="000A20C7" w:rsidP="000A20C7">
      <w:pPr>
        <w:pStyle w:val="Default"/>
      </w:pPr>
    </w:p>
    <w:p w14:paraId="6D287F11" w14:textId="77777777" w:rsidR="000A20C7" w:rsidRPr="000A20C7" w:rsidRDefault="000A20C7" w:rsidP="000A20C7">
      <w:pPr>
        <w:pStyle w:val="Default"/>
        <w:numPr>
          <w:ilvl w:val="0"/>
          <w:numId w:val="24"/>
        </w:numPr>
      </w:pPr>
      <w:r w:rsidRPr="000A20C7">
        <w:t>Utredningen</w:t>
      </w:r>
      <w:r w:rsidR="007913C3">
        <w:t xml:space="preserve"> och en eventuell handlingsplan</w:t>
      </w:r>
      <w:r w:rsidRPr="000A20C7">
        <w:t xml:space="preserve"> dokument</w:t>
      </w:r>
      <w:r w:rsidR="007913C3">
        <w:t>eras av strålsäkerhetskommittén.</w:t>
      </w:r>
    </w:p>
    <w:p w14:paraId="459F90BB" w14:textId="77777777" w:rsidR="000A20C7" w:rsidRDefault="000A20C7" w:rsidP="000A20C7">
      <w:pPr>
        <w:pStyle w:val="Default"/>
        <w:rPr>
          <w:sz w:val="22"/>
          <w:szCs w:val="22"/>
        </w:rPr>
      </w:pPr>
    </w:p>
    <w:p w14:paraId="158042F5" w14:textId="77777777" w:rsidR="000A20C7" w:rsidRDefault="000A20C7" w:rsidP="000A20C7">
      <w:pPr>
        <w:pStyle w:val="Default"/>
        <w:rPr>
          <w:b/>
          <w:bCs/>
          <w:sz w:val="22"/>
          <w:szCs w:val="22"/>
        </w:rPr>
      </w:pPr>
    </w:p>
    <w:p w14:paraId="74956F7E" w14:textId="77777777" w:rsidR="000A20C7" w:rsidRPr="000A20C7" w:rsidRDefault="000A20C7" w:rsidP="000A20C7">
      <w:pPr>
        <w:pStyle w:val="Default"/>
      </w:pPr>
      <w:r w:rsidRPr="000A20C7">
        <w:rPr>
          <w:b/>
          <w:bCs/>
        </w:rPr>
        <w:t xml:space="preserve">Rapportering till Strålsäkerhetsmyndigheten </w:t>
      </w:r>
    </w:p>
    <w:p w14:paraId="23E32159" w14:textId="77777777" w:rsidR="000A20C7" w:rsidRDefault="000A20C7" w:rsidP="000A20C7">
      <w:pPr>
        <w:pStyle w:val="Default"/>
      </w:pPr>
      <w:r w:rsidRPr="000A20C7">
        <w:t>Dosregistreringar som överskrider nedan angivna nivåer rapporteras till Strålsäkerhetsmyndigheten</w:t>
      </w:r>
      <w:r>
        <w:t>.</w:t>
      </w:r>
    </w:p>
    <w:p w14:paraId="5B830E73" w14:textId="77777777" w:rsidR="000A20C7" w:rsidRPr="000A20C7" w:rsidRDefault="000A20C7" w:rsidP="000A20C7">
      <w:pPr>
        <w:pStyle w:val="Default"/>
      </w:pPr>
    </w:p>
    <w:p w14:paraId="4DCE37AE" w14:textId="77777777" w:rsidR="000A20C7" w:rsidRDefault="000A20C7" w:rsidP="000A20C7">
      <w:pPr>
        <w:pStyle w:val="Default"/>
        <w:numPr>
          <w:ilvl w:val="0"/>
          <w:numId w:val="24"/>
        </w:numPr>
      </w:pPr>
      <w:r w:rsidRPr="000A20C7">
        <w:t>Doser registrerade under e</w:t>
      </w:r>
      <w:r>
        <w:t>n 4-veckors mätperiod, och där:</w:t>
      </w:r>
    </w:p>
    <w:p w14:paraId="7B3AE93F" w14:textId="2A469866" w:rsidR="000A20C7" w:rsidRPr="000A20C7" w:rsidRDefault="00D62E92" w:rsidP="000A20C7">
      <w:pPr>
        <w:pStyle w:val="Default"/>
        <w:numPr>
          <w:ilvl w:val="0"/>
          <w:numId w:val="28"/>
        </w:numPr>
        <w:ind w:left="1491" w:hanging="357"/>
      </w:pPr>
      <w:r>
        <w:t xml:space="preserve"> </w:t>
      </w:r>
      <w:r w:rsidR="000A20C7" w:rsidRPr="000A20C7">
        <w:t xml:space="preserve">effektiv dos &gt;6 </w:t>
      </w:r>
      <w:proofErr w:type="spellStart"/>
      <w:r w:rsidR="000A20C7" w:rsidRPr="000A20C7">
        <w:t>mSv</w:t>
      </w:r>
      <w:proofErr w:type="spellEnd"/>
      <w:r w:rsidR="000A20C7" w:rsidRPr="000A20C7">
        <w:t xml:space="preserve"> </w:t>
      </w:r>
    </w:p>
    <w:p w14:paraId="1E130A54" w14:textId="0C3A0E63" w:rsidR="000A20C7" w:rsidRPr="000A20C7" w:rsidRDefault="00D62E92" w:rsidP="00F47F20">
      <w:pPr>
        <w:pStyle w:val="Default"/>
        <w:numPr>
          <w:ilvl w:val="0"/>
          <w:numId w:val="28"/>
        </w:numPr>
        <w:ind w:left="1491" w:hanging="357"/>
      </w:pPr>
      <w:r>
        <w:t xml:space="preserve"> </w:t>
      </w:r>
      <w:r w:rsidR="00F47F20">
        <w:t>ekvivalent dos till extremiteter</w:t>
      </w:r>
      <w:r w:rsidR="000A20C7" w:rsidRPr="000A20C7">
        <w:t xml:space="preserve"> &gt;150 </w:t>
      </w:r>
      <w:proofErr w:type="spellStart"/>
      <w:r w:rsidR="000A20C7" w:rsidRPr="000A20C7">
        <w:t>mSv</w:t>
      </w:r>
      <w:proofErr w:type="spellEnd"/>
      <w:r w:rsidR="000A20C7" w:rsidRPr="000A20C7">
        <w:t xml:space="preserve"> </w:t>
      </w:r>
    </w:p>
    <w:p w14:paraId="5B7FF67B" w14:textId="77777777" w:rsidR="000A20C7" w:rsidRPr="000A20C7" w:rsidRDefault="000A20C7" w:rsidP="000A20C7">
      <w:pPr>
        <w:pStyle w:val="Default"/>
      </w:pPr>
    </w:p>
    <w:p w14:paraId="571FAED7" w14:textId="77777777" w:rsidR="000A20C7" w:rsidRDefault="000A20C7" w:rsidP="000A20C7">
      <w:pPr>
        <w:pStyle w:val="Default"/>
        <w:numPr>
          <w:ilvl w:val="0"/>
          <w:numId w:val="24"/>
        </w:numPr>
      </w:pPr>
      <w:r w:rsidRPr="000A20C7">
        <w:t>Doser registrerade</w:t>
      </w:r>
      <w:r>
        <w:t xml:space="preserve"> under ett kalenderår, och där:</w:t>
      </w:r>
    </w:p>
    <w:p w14:paraId="758345FE" w14:textId="71514FE0" w:rsidR="000A20C7" w:rsidRDefault="00D62E92" w:rsidP="000A20C7">
      <w:pPr>
        <w:pStyle w:val="Default"/>
        <w:numPr>
          <w:ilvl w:val="0"/>
          <w:numId w:val="29"/>
        </w:numPr>
        <w:ind w:left="1491" w:hanging="357"/>
      </w:pPr>
      <w:r>
        <w:t xml:space="preserve"> </w:t>
      </w:r>
      <w:r w:rsidR="000A20C7" w:rsidRPr="000A20C7">
        <w:t xml:space="preserve">effektiv dos &gt;50 </w:t>
      </w:r>
      <w:proofErr w:type="spellStart"/>
      <w:r w:rsidR="000A20C7" w:rsidRPr="000A20C7">
        <w:t>mSv</w:t>
      </w:r>
      <w:proofErr w:type="spellEnd"/>
      <w:r w:rsidR="000A20C7" w:rsidRPr="000A20C7">
        <w:t xml:space="preserve"> </w:t>
      </w:r>
    </w:p>
    <w:p w14:paraId="482123F3" w14:textId="577247E0" w:rsidR="00D62E92" w:rsidRPr="000A20C7" w:rsidRDefault="00D62E92" w:rsidP="000A20C7">
      <w:pPr>
        <w:pStyle w:val="Default"/>
        <w:numPr>
          <w:ilvl w:val="0"/>
          <w:numId w:val="29"/>
        </w:numPr>
        <w:ind w:left="1491" w:hanging="357"/>
      </w:pPr>
      <w:r>
        <w:t xml:space="preserve"> e</w:t>
      </w:r>
      <w:r w:rsidRPr="000A20C7">
        <w:t>kv</w:t>
      </w:r>
      <w:r>
        <w:t>ivalent dos till ögats lins &gt;15</w:t>
      </w:r>
      <w:r w:rsidRPr="000A20C7">
        <w:t xml:space="preserve"> </w:t>
      </w:r>
      <w:proofErr w:type="spellStart"/>
      <w:r w:rsidRPr="000A20C7">
        <w:t>m</w:t>
      </w:r>
      <w:r>
        <w:t>Sv</w:t>
      </w:r>
      <w:proofErr w:type="spellEnd"/>
    </w:p>
    <w:p w14:paraId="3A6CF2BA" w14:textId="563C2DD2" w:rsidR="000A20C7" w:rsidRPr="000A20C7" w:rsidRDefault="00D62E92" w:rsidP="00D62E92">
      <w:pPr>
        <w:pStyle w:val="Default"/>
        <w:numPr>
          <w:ilvl w:val="0"/>
          <w:numId w:val="29"/>
        </w:numPr>
        <w:ind w:left="1491" w:hanging="357"/>
      </w:pPr>
      <w:r>
        <w:t xml:space="preserve"> </w:t>
      </w:r>
      <w:r w:rsidR="000A20C7" w:rsidRPr="000A20C7">
        <w:t xml:space="preserve">ekvivalent dos till </w:t>
      </w:r>
      <w:r w:rsidR="00F47F20">
        <w:t>extremiteter</w:t>
      </w:r>
      <w:r w:rsidR="00F47F20" w:rsidRPr="000A20C7">
        <w:t xml:space="preserve"> </w:t>
      </w:r>
      <w:r w:rsidR="000A20C7" w:rsidRPr="000A20C7">
        <w:t>&gt;</w:t>
      </w:r>
      <w:bookmarkStart w:id="0" w:name="_GoBack"/>
      <w:bookmarkEnd w:id="0"/>
      <w:r w:rsidR="00F47F20">
        <w:t>15</w:t>
      </w:r>
      <w:r w:rsidR="000A20C7" w:rsidRPr="000A20C7">
        <w:t xml:space="preserve">0 </w:t>
      </w:r>
      <w:proofErr w:type="spellStart"/>
      <w:r w:rsidR="000A20C7" w:rsidRPr="000A20C7">
        <w:t>mSv</w:t>
      </w:r>
      <w:proofErr w:type="spellEnd"/>
      <w:r w:rsidR="000A20C7" w:rsidRPr="000A20C7">
        <w:t xml:space="preserve"> </w:t>
      </w:r>
    </w:p>
    <w:p w14:paraId="00A88E0F" w14:textId="77777777" w:rsidR="000A20C7" w:rsidRPr="000A20C7" w:rsidRDefault="000A20C7" w:rsidP="000A20C7">
      <w:pPr>
        <w:pStyle w:val="Default"/>
      </w:pPr>
    </w:p>
    <w:p w14:paraId="5D5E89AC" w14:textId="77777777" w:rsidR="000A20C7" w:rsidRPr="000A20C7" w:rsidRDefault="000A20C7" w:rsidP="000A20C7">
      <w:pPr>
        <w:pStyle w:val="Default"/>
      </w:pPr>
    </w:p>
    <w:p w14:paraId="0ED47C7B" w14:textId="77777777" w:rsidR="000A20C7" w:rsidRDefault="000A20C7" w:rsidP="000A20C7">
      <w:pPr>
        <w:pStyle w:val="Default"/>
      </w:pPr>
      <w:r w:rsidRPr="000A20C7">
        <w:t>Strålsäkerhetskommittén ansvarar för rapportering till SSM.</w:t>
      </w:r>
    </w:p>
    <w:p w14:paraId="08B83655" w14:textId="77777777" w:rsidR="000A20C7" w:rsidRPr="000A20C7" w:rsidRDefault="000A20C7" w:rsidP="000A20C7">
      <w:pPr>
        <w:pStyle w:val="Default"/>
      </w:pPr>
    </w:p>
    <w:p w14:paraId="1E08FE79" w14:textId="77777777" w:rsidR="003E6DD7" w:rsidRPr="000A20C7" w:rsidRDefault="000A20C7" w:rsidP="000A20C7">
      <w:pPr>
        <w:jc w:val="both"/>
        <w:rPr>
          <w:rFonts w:ascii="Arial" w:hAnsi="Arial" w:cs="Arial"/>
          <w:sz w:val="24"/>
          <w:szCs w:val="24"/>
        </w:rPr>
      </w:pPr>
      <w:r w:rsidRPr="000A20C7">
        <w:rPr>
          <w:rFonts w:ascii="Arial" w:hAnsi="Arial" w:cs="Arial"/>
          <w:sz w:val="24"/>
          <w:szCs w:val="24"/>
        </w:rPr>
        <w:t>Nedan sammanfattas lokala riktlinjer för respektive tillståndsområde. Dessa gäller oavsett personalens kategoriplacering.</w:t>
      </w:r>
    </w:p>
    <w:p w14:paraId="5A172625" w14:textId="77777777" w:rsidR="000A20C7" w:rsidRDefault="000A20C7">
      <w:pPr>
        <w:rPr>
          <w:sz w:val="24"/>
          <w:szCs w:val="24"/>
        </w:rPr>
      </w:pPr>
      <w:r>
        <w:rPr>
          <w:sz w:val="24"/>
          <w:szCs w:val="24"/>
        </w:rPr>
        <w:br w:type="page"/>
      </w:r>
    </w:p>
    <w:p w14:paraId="451F5081" w14:textId="77777777" w:rsidR="000A20C7" w:rsidRPr="000A20C7" w:rsidRDefault="000A20C7" w:rsidP="000A20C7">
      <w:pPr>
        <w:pStyle w:val="Default"/>
      </w:pPr>
      <w:r w:rsidRPr="000A20C7">
        <w:rPr>
          <w:b/>
          <w:bCs/>
        </w:rPr>
        <w:t xml:space="preserve">LOKALA RIKTLINJER FÖR RÖNTGENVERKSAMHETER </w:t>
      </w:r>
    </w:p>
    <w:p w14:paraId="5D603064" w14:textId="77777777" w:rsidR="000A20C7" w:rsidRPr="000A20C7" w:rsidRDefault="000A20C7" w:rsidP="000A20C7">
      <w:pPr>
        <w:pStyle w:val="Default"/>
      </w:pPr>
      <w:r w:rsidRPr="000A20C7">
        <w:t xml:space="preserve">Personal som i sin huvudsakliga placering arbetar i undersökningsrummet under pågående exponering vid följande röntgenverksamheter, ska bära personlig båldosimeter: </w:t>
      </w:r>
    </w:p>
    <w:p w14:paraId="4E2D49C3" w14:textId="77777777" w:rsidR="000A20C7" w:rsidRPr="000A20C7" w:rsidRDefault="000A20C7" w:rsidP="000A20C7">
      <w:pPr>
        <w:pStyle w:val="Default"/>
        <w:numPr>
          <w:ilvl w:val="0"/>
          <w:numId w:val="24"/>
        </w:numPr>
        <w:spacing w:after="66"/>
      </w:pPr>
      <w:r w:rsidRPr="000A20C7">
        <w:t xml:space="preserve">intervention </w:t>
      </w:r>
    </w:p>
    <w:p w14:paraId="3A73AB16" w14:textId="77777777" w:rsidR="000A20C7" w:rsidRPr="000A20C7" w:rsidRDefault="000A20C7" w:rsidP="000A20C7">
      <w:pPr>
        <w:pStyle w:val="Default"/>
        <w:numPr>
          <w:ilvl w:val="0"/>
          <w:numId w:val="24"/>
        </w:numPr>
        <w:spacing w:after="66"/>
      </w:pPr>
      <w:r w:rsidRPr="000A20C7">
        <w:t xml:space="preserve">datortomografi </w:t>
      </w:r>
    </w:p>
    <w:p w14:paraId="02773E64" w14:textId="77777777" w:rsidR="000A20C7" w:rsidRPr="000A20C7" w:rsidRDefault="000A20C7" w:rsidP="000A20C7">
      <w:pPr>
        <w:pStyle w:val="Default"/>
        <w:numPr>
          <w:ilvl w:val="0"/>
          <w:numId w:val="24"/>
        </w:numPr>
      </w:pPr>
      <w:r w:rsidRPr="000A20C7">
        <w:t xml:space="preserve">genomlysning </w:t>
      </w:r>
    </w:p>
    <w:p w14:paraId="33A13C2D" w14:textId="77777777" w:rsidR="000A20C7" w:rsidRPr="000A20C7" w:rsidRDefault="000A20C7" w:rsidP="000A20C7">
      <w:pPr>
        <w:pStyle w:val="Default"/>
      </w:pPr>
    </w:p>
    <w:p w14:paraId="4B8E4684" w14:textId="77777777" w:rsidR="000A20C7" w:rsidRPr="000A20C7" w:rsidRDefault="000A20C7" w:rsidP="000A20C7">
      <w:pPr>
        <w:pStyle w:val="Default"/>
      </w:pPr>
      <w:r w:rsidRPr="000A20C7">
        <w:t xml:space="preserve">Personal som endast arbetar med verksamhet med mobil C-båge, utanför röntgenklinikerna omfattas generellt </w:t>
      </w:r>
      <w:r w:rsidRPr="000A20C7">
        <w:rPr>
          <w:b/>
          <w:bCs/>
        </w:rPr>
        <w:t xml:space="preserve">inte </w:t>
      </w:r>
      <w:r w:rsidRPr="000A20C7">
        <w:t>av krav på personlig båldosimeter. Strålsäkerhetskommittén kan, där särskilda skäl föreligger, besluta om krav på personlig dosimeter även för denna typ av verksamhet.</w:t>
      </w:r>
    </w:p>
    <w:p w14:paraId="2C342154" w14:textId="77777777" w:rsidR="000A20C7" w:rsidRPr="000A20C7" w:rsidRDefault="000A20C7" w:rsidP="000A20C7">
      <w:pPr>
        <w:pStyle w:val="Default"/>
      </w:pPr>
    </w:p>
    <w:p w14:paraId="66EF5227" w14:textId="77777777" w:rsidR="000A20C7" w:rsidRPr="000A20C7" w:rsidRDefault="000A20C7" w:rsidP="000A20C7">
      <w:pPr>
        <w:pStyle w:val="Default"/>
      </w:pPr>
    </w:p>
    <w:p w14:paraId="062F9CAE" w14:textId="77777777" w:rsidR="000A20C7" w:rsidRPr="000A20C7" w:rsidRDefault="000A20C7" w:rsidP="000A20C7">
      <w:pPr>
        <w:pStyle w:val="Default"/>
      </w:pPr>
      <w:r w:rsidRPr="000A20C7">
        <w:rPr>
          <w:b/>
          <w:bCs/>
        </w:rPr>
        <w:t xml:space="preserve">LOKALA RIKTLINJER FÖR NUKLEARMEDICINSKA VERKSAMHETER </w:t>
      </w:r>
    </w:p>
    <w:p w14:paraId="6B9A7203" w14:textId="77777777" w:rsidR="000A20C7" w:rsidRPr="000A20C7" w:rsidRDefault="000A20C7" w:rsidP="000A20C7">
      <w:pPr>
        <w:pStyle w:val="Default"/>
      </w:pPr>
      <w:r w:rsidRPr="000A20C7">
        <w:rPr>
          <w:b/>
          <w:bCs/>
        </w:rPr>
        <w:t xml:space="preserve">OCH LABBVERKSAMHET MED ÖPPNA STRÅLKÄLLOR </w:t>
      </w:r>
    </w:p>
    <w:p w14:paraId="1F14BCC7" w14:textId="77777777" w:rsidR="000A20C7" w:rsidRDefault="000A20C7" w:rsidP="000A20C7">
      <w:pPr>
        <w:rPr>
          <w:rFonts w:ascii="Arial" w:hAnsi="Arial" w:cs="Arial"/>
          <w:sz w:val="24"/>
          <w:szCs w:val="24"/>
        </w:rPr>
      </w:pPr>
      <w:r w:rsidRPr="000A20C7">
        <w:rPr>
          <w:rFonts w:ascii="Arial" w:hAnsi="Arial" w:cs="Arial"/>
          <w:sz w:val="24"/>
          <w:szCs w:val="24"/>
        </w:rPr>
        <w:t>All personal som hanterar öppna str</w:t>
      </w:r>
      <w:r w:rsidR="00F47F20">
        <w:rPr>
          <w:rFonts w:ascii="Arial" w:hAnsi="Arial" w:cs="Arial"/>
          <w:sz w:val="24"/>
          <w:szCs w:val="24"/>
        </w:rPr>
        <w:t>ålkällor på en nuklearmedicin</w:t>
      </w:r>
      <w:r w:rsidRPr="000A20C7">
        <w:rPr>
          <w:rFonts w:ascii="Arial" w:hAnsi="Arial" w:cs="Arial"/>
          <w:sz w:val="24"/>
          <w:szCs w:val="24"/>
        </w:rPr>
        <w:t>avdelning s</w:t>
      </w:r>
      <w:r>
        <w:rPr>
          <w:rFonts w:ascii="Arial" w:hAnsi="Arial" w:cs="Arial"/>
          <w:sz w:val="24"/>
          <w:szCs w:val="24"/>
        </w:rPr>
        <w:t>ka bära personlig båldosimeter.</w:t>
      </w:r>
    </w:p>
    <w:p w14:paraId="799AD01E" w14:textId="77777777" w:rsidR="003E6DD7" w:rsidRPr="000A20C7" w:rsidRDefault="000A20C7" w:rsidP="000A20C7">
      <w:pPr>
        <w:rPr>
          <w:rFonts w:ascii="Arial" w:hAnsi="Arial" w:cs="Arial"/>
          <w:color w:val="000000"/>
          <w:sz w:val="24"/>
          <w:szCs w:val="24"/>
        </w:rPr>
      </w:pPr>
      <w:r w:rsidRPr="000A20C7">
        <w:rPr>
          <w:rFonts w:ascii="Arial" w:hAnsi="Arial" w:cs="Arial"/>
          <w:sz w:val="24"/>
          <w:szCs w:val="24"/>
        </w:rPr>
        <w:t>För personal på laboratorier som arbetar med öppna strålkällor ska strålsäkerhetskommittén vid uppstart eller förändring av verksamhet utföra en individuell riskbedömning och då ta ställning till om personlig dosimeter ska användas.</w:t>
      </w:r>
    </w:p>
    <w:sectPr w:rsidR="003E6DD7" w:rsidRPr="000A20C7" w:rsidSect="007B78F8">
      <w:headerReference w:type="default" r:id="rId11"/>
      <w:footerReference w:type="default" r:id="rId12"/>
      <w:headerReference w:type="first" r:id="rId13"/>
      <w:footerReference w:type="first" r:id="rId14"/>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FBAC5" w14:textId="77777777" w:rsidR="008F293F" w:rsidRDefault="008F293F" w:rsidP="00911038">
      <w:pPr>
        <w:spacing w:after="0" w:line="240" w:lineRule="auto"/>
      </w:pPr>
      <w:r>
        <w:separator/>
      </w:r>
    </w:p>
  </w:endnote>
  <w:endnote w:type="continuationSeparator" w:id="0">
    <w:p w14:paraId="5F66B30C" w14:textId="77777777" w:rsidR="008F293F" w:rsidRDefault="008F293F" w:rsidP="0091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CA71" w14:textId="77777777" w:rsidR="000A20C7" w:rsidRPr="00796116" w:rsidRDefault="000A20C7" w:rsidP="000A20C7">
    <w:pPr>
      <w:pStyle w:val="Sidfot"/>
      <w:rPr>
        <w:rFonts w:ascii="Arial" w:hAnsi="Arial" w:cs="Arial"/>
        <w:sz w:val="20"/>
        <w:szCs w:val="20"/>
      </w:rPr>
    </w:pPr>
    <w:r>
      <w:rPr>
        <w:rFonts w:ascii="Arial" w:hAnsi="Arial" w:cs="Arial"/>
        <w:sz w:val="20"/>
        <w:szCs w:val="20"/>
      </w:rPr>
      <w:t>Anvisning för personaldosimetri</w:t>
    </w:r>
  </w:p>
  <w:p w14:paraId="40281336" w14:textId="71016923" w:rsidR="00911038" w:rsidRPr="00F47F20" w:rsidRDefault="00F47F20" w:rsidP="00F47F20">
    <w:pPr>
      <w:pStyle w:val="Sidfot"/>
      <w:rPr>
        <w:rFonts w:ascii="Arial" w:hAnsi="Arial" w:cs="Arial"/>
        <w:sz w:val="20"/>
        <w:szCs w:val="20"/>
      </w:rPr>
    </w:pPr>
    <w:r>
      <w:rPr>
        <w:rFonts w:ascii="Arial" w:hAnsi="Arial" w:cs="Arial"/>
        <w:sz w:val="20"/>
        <w:szCs w:val="20"/>
      </w:rPr>
      <w:t>Strålsäkerhetskommittén SLU</w:t>
    </w:r>
    <w:r w:rsidRPr="00332135">
      <w:tab/>
    </w:r>
    <w:r w:rsidR="008F293F">
      <w:fldChar w:fldCharType="begin"/>
    </w:r>
    <w:r w:rsidR="008F293F">
      <w:instrText xml:space="preserve"> DATE   \* MERGEFORMAT </w:instrText>
    </w:r>
    <w:r w:rsidR="008F293F">
      <w:fldChar w:fldCharType="separate"/>
    </w:r>
    <w:r w:rsidR="008253A0" w:rsidRPr="008253A0">
      <w:rPr>
        <w:rFonts w:ascii="Arial" w:hAnsi="Arial" w:cs="Arial"/>
        <w:noProof/>
        <w:sz w:val="20"/>
        <w:szCs w:val="20"/>
      </w:rPr>
      <w:t>2020-02-25</w:t>
    </w:r>
    <w:r w:rsidR="008F293F">
      <w:rPr>
        <w:rFonts w:ascii="Arial" w:hAnsi="Arial" w:cs="Arial"/>
        <w:noProof/>
        <w:sz w:val="20"/>
        <w:szCs w:val="20"/>
      </w:rPr>
      <w:fldChar w:fldCharType="end"/>
    </w:r>
    <w:r w:rsidRPr="00796116">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83B8" w14:textId="77777777" w:rsidR="00796116" w:rsidRPr="00796116" w:rsidRDefault="00A11957" w:rsidP="00796116">
    <w:pPr>
      <w:pStyle w:val="Sidfot"/>
      <w:rPr>
        <w:rFonts w:ascii="Arial" w:hAnsi="Arial" w:cs="Arial"/>
        <w:sz w:val="20"/>
        <w:szCs w:val="20"/>
      </w:rPr>
    </w:pPr>
    <w:r>
      <w:rPr>
        <w:rFonts w:ascii="Arial" w:hAnsi="Arial" w:cs="Arial"/>
        <w:sz w:val="20"/>
        <w:szCs w:val="20"/>
      </w:rPr>
      <w:t>Anvisning för</w:t>
    </w:r>
    <w:r w:rsidR="00B31C31">
      <w:rPr>
        <w:rFonts w:ascii="Arial" w:hAnsi="Arial" w:cs="Arial"/>
        <w:sz w:val="20"/>
        <w:szCs w:val="20"/>
      </w:rPr>
      <w:t xml:space="preserve"> </w:t>
    </w:r>
    <w:r w:rsidR="00134139">
      <w:rPr>
        <w:rFonts w:ascii="Arial" w:hAnsi="Arial" w:cs="Arial"/>
        <w:sz w:val="20"/>
        <w:szCs w:val="20"/>
      </w:rPr>
      <w:t>personal</w:t>
    </w:r>
    <w:r w:rsidR="000A20C7">
      <w:rPr>
        <w:rFonts w:ascii="Arial" w:hAnsi="Arial" w:cs="Arial"/>
        <w:sz w:val="20"/>
        <w:szCs w:val="20"/>
      </w:rPr>
      <w:t>dosimetri</w:t>
    </w:r>
  </w:p>
  <w:p w14:paraId="1D722793" w14:textId="77777777" w:rsidR="00796116" w:rsidRPr="00796116" w:rsidRDefault="0045070C" w:rsidP="00542FBF">
    <w:pPr>
      <w:pStyle w:val="Sidfot"/>
      <w:rPr>
        <w:rFonts w:ascii="Arial" w:hAnsi="Arial" w:cs="Arial"/>
        <w:sz w:val="20"/>
        <w:szCs w:val="20"/>
      </w:rPr>
    </w:pPr>
    <w:r>
      <w:rPr>
        <w:rFonts w:ascii="Arial" w:hAnsi="Arial" w:cs="Arial"/>
        <w:sz w:val="20"/>
        <w:szCs w:val="20"/>
      </w:rPr>
      <w:t>Strålsäkerhetskommittén SLU</w:t>
    </w:r>
    <w:r w:rsidR="00542FBF" w:rsidRPr="00332135">
      <w:tab/>
    </w:r>
    <w:r w:rsidR="007B78F8">
      <w:t>2018-06-27</w:t>
    </w:r>
    <w:r w:rsidR="00F47F20">
      <w:rPr>
        <w:rFonts w:ascii="Arial" w:hAnsi="Arial" w:cs="Arial"/>
        <w:noProof/>
        <w:sz w:val="20"/>
        <w:szCs w:val="20"/>
      </w:rPr>
      <w:tab/>
      <w:t>Version 4</w:t>
    </w:r>
    <w:r w:rsidR="00542FBF" w:rsidRPr="0079611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F188" w14:textId="77777777" w:rsidR="008F293F" w:rsidRDefault="008F293F" w:rsidP="00911038">
      <w:pPr>
        <w:spacing w:after="0" w:line="240" w:lineRule="auto"/>
      </w:pPr>
      <w:r>
        <w:separator/>
      </w:r>
    </w:p>
  </w:footnote>
  <w:footnote w:type="continuationSeparator" w:id="0">
    <w:p w14:paraId="1629004A" w14:textId="77777777" w:rsidR="008F293F" w:rsidRDefault="008F293F" w:rsidP="0091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7418" w14:textId="77777777" w:rsidR="00A4520A" w:rsidRDefault="00734F00" w:rsidP="00823949">
    <w:pPr>
      <w:pStyle w:val="Sidhuvud"/>
    </w:pPr>
    <w:r>
      <w:tab/>
    </w:r>
    <w:r w:rsidR="008810AF">
      <w:tab/>
    </w:r>
    <w:r w:rsidR="001914DA">
      <w:fldChar w:fldCharType="begin"/>
    </w:r>
    <w:r w:rsidR="00A4520A">
      <w:instrText xml:space="preserve"> PAGE   \* MERGEFORMAT </w:instrText>
    </w:r>
    <w:r w:rsidR="001914DA">
      <w:fldChar w:fldCharType="separate"/>
    </w:r>
    <w:r w:rsidR="00095202">
      <w:rPr>
        <w:noProof/>
      </w:rPr>
      <w:t>1</w:t>
    </w:r>
    <w:r w:rsidR="001914DA">
      <w:rPr>
        <w:noProof/>
      </w:rPr>
      <w:fldChar w:fldCharType="end"/>
    </w:r>
    <w:r w:rsidR="00A4520A" w:rsidRPr="009E1A60">
      <w:t>(</w:t>
    </w:r>
    <w:fldSimple w:instr=" NUMPAGES   \* MERGEFORMAT ">
      <w:r w:rsidR="00095202">
        <w:rPr>
          <w:noProof/>
        </w:rPr>
        <w:t>4</w:t>
      </w:r>
    </w:fldSimple>
    <w:r w:rsidR="00A4520A" w:rsidRPr="009E1A60">
      <w:t>)</w:t>
    </w:r>
  </w:p>
  <w:p w14:paraId="2A018CF8" w14:textId="77777777" w:rsidR="00A4520A" w:rsidRDefault="00A4520A">
    <w:pPr>
      <w:pStyle w:val="Sidhuvud"/>
      <w:jc w:val="right"/>
    </w:pPr>
  </w:p>
  <w:p w14:paraId="1889CE2D" w14:textId="77777777" w:rsidR="00911038" w:rsidRDefault="009110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9D871" w14:textId="77777777" w:rsidR="00A4520A" w:rsidRDefault="001914DA">
    <w:pPr>
      <w:pStyle w:val="Sidhuvud"/>
      <w:jc w:val="right"/>
    </w:pPr>
    <w:r>
      <w:fldChar w:fldCharType="begin"/>
    </w:r>
    <w:r w:rsidR="00A4520A">
      <w:instrText xml:space="preserve"> PAGE   \* MERGEFORMAT </w:instrText>
    </w:r>
    <w:r>
      <w:fldChar w:fldCharType="separate"/>
    </w:r>
    <w:r w:rsidR="007B78F8">
      <w:rPr>
        <w:noProof/>
      </w:rPr>
      <w:t>1</w:t>
    </w:r>
    <w:r>
      <w:rPr>
        <w:noProof/>
      </w:rPr>
      <w:fldChar w:fldCharType="end"/>
    </w:r>
    <w:r w:rsidR="00A4520A" w:rsidRPr="009E1A60">
      <w:t>(</w:t>
    </w:r>
    <w:fldSimple w:instr=" NUMPAGES   \* MERGEFORMAT ">
      <w:r w:rsidR="007B78F8">
        <w:rPr>
          <w:noProof/>
        </w:rPr>
        <w:t>4</w:t>
      </w:r>
    </w:fldSimple>
    <w:r w:rsidR="00A4520A" w:rsidRPr="009E1A60">
      <w:t>)</w:t>
    </w:r>
  </w:p>
  <w:p w14:paraId="703131FA" w14:textId="77777777" w:rsidR="00796116" w:rsidRDefault="008F293F">
    <w:pPr>
      <w:pStyle w:val="Sidhuvud"/>
    </w:pPr>
    <w:r>
      <w:rPr>
        <w:noProof/>
      </w:rPr>
      <w:pict w14:anchorId="41DBE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25.1pt;margin-top:-7.3pt;width:255.75pt;height:86.25pt;z-index:-1;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937"/>
    <w:multiLevelType w:val="hybridMultilevel"/>
    <w:tmpl w:val="A12474B4"/>
    <w:lvl w:ilvl="0" w:tplc="9FA0462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A213DA"/>
    <w:multiLevelType w:val="hybridMultilevel"/>
    <w:tmpl w:val="8D6E3CF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D40B9A"/>
    <w:multiLevelType w:val="hybridMultilevel"/>
    <w:tmpl w:val="807C9FA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B079A1"/>
    <w:multiLevelType w:val="hybridMultilevel"/>
    <w:tmpl w:val="CEFC4682"/>
    <w:lvl w:ilvl="0" w:tplc="0F3A62A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881E05"/>
    <w:multiLevelType w:val="hybridMultilevel"/>
    <w:tmpl w:val="C574AF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C0F7F"/>
    <w:multiLevelType w:val="hybridMultilevel"/>
    <w:tmpl w:val="96A0FCDA"/>
    <w:lvl w:ilvl="0" w:tplc="9872CD8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53B1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97740D"/>
    <w:multiLevelType w:val="hybridMultilevel"/>
    <w:tmpl w:val="E64EBAF6"/>
    <w:lvl w:ilvl="0" w:tplc="406829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CB64C3"/>
    <w:multiLevelType w:val="hybridMultilevel"/>
    <w:tmpl w:val="C978A5B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E635CB"/>
    <w:multiLevelType w:val="hybridMultilevel"/>
    <w:tmpl w:val="B60A4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81B4A7E"/>
    <w:multiLevelType w:val="hybridMultilevel"/>
    <w:tmpl w:val="25E4F996"/>
    <w:lvl w:ilvl="0" w:tplc="0F3A62A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5D41D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AD4568"/>
    <w:multiLevelType w:val="hybridMultilevel"/>
    <w:tmpl w:val="C978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007BD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3B58A8"/>
    <w:multiLevelType w:val="hybridMultilevel"/>
    <w:tmpl w:val="B9CE8D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62B3AFE"/>
    <w:multiLevelType w:val="hybridMultilevel"/>
    <w:tmpl w:val="DACAE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2932BF"/>
    <w:multiLevelType w:val="hybridMultilevel"/>
    <w:tmpl w:val="09C2BAF8"/>
    <w:lvl w:ilvl="0" w:tplc="406829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33B6D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BD5394"/>
    <w:multiLevelType w:val="hybridMultilevel"/>
    <w:tmpl w:val="194834E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31A5950"/>
    <w:multiLevelType w:val="hybridMultilevel"/>
    <w:tmpl w:val="157E0860"/>
    <w:lvl w:ilvl="0" w:tplc="406829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4C43247"/>
    <w:multiLevelType w:val="hybridMultilevel"/>
    <w:tmpl w:val="3850E1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62503CE"/>
    <w:multiLevelType w:val="hybridMultilevel"/>
    <w:tmpl w:val="26782A2C"/>
    <w:lvl w:ilvl="0" w:tplc="40682920">
      <w:numFmt w:val="bullet"/>
      <w:lvlText w:val="•"/>
      <w:lvlJc w:val="left"/>
      <w:pPr>
        <w:ind w:left="720" w:hanging="360"/>
      </w:pPr>
      <w:rPr>
        <w:rFonts w:ascii="Arial" w:eastAsia="Times New Roman"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7936144"/>
    <w:multiLevelType w:val="hybridMultilevel"/>
    <w:tmpl w:val="B3EAB4FC"/>
    <w:lvl w:ilvl="0" w:tplc="041D0001">
      <w:start w:val="1"/>
      <w:numFmt w:val="bullet"/>
      <w:lvlText w:val=""/>
      <w:lvlJc w:val="left"/>
      <w:pPr>
        <w:ind w:left="720" w:hanging="360"/>
      </w:pPr>
      <w:rPr>
        <w:rFonts w:ascii="Symbol" w:hAnsi="Symbol" w:hint="default"/>
      </w:rPr>
    </w:lvl>
    <w:lvl w:ilvl="1" w:tplc="7D906630">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F2B4BF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B6701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6FF0BA0"/>
    <w:multiLevelType w:val="hybridMultilevel"/>
    <w:tmpl w:val="75140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8D92C61"/>
    <w:multiLevelType w:val="hybridMultilevel"/>
    <w:tmpl w:val="A4C468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D3099"/>
    <w:multiLevelType w:val="hybridMultilevel"/>
    <w:tmpl w:val="AA4A6EC4"/>
    <w:lvl w:ilvl="0" w:tplc="0F3A62A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B000EA7"/>
    <w:multiLevelType w:val="hybridMultilevel"/>
    <w:tmpl w:val="F36403B4"/>
    <w:lvl w:ilvl="0" w:tplc="406829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E9E4FD8"/>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9"/>
  </w:num>
  <w:num w:numId="3">
    <w:abstractNumId w:val="12"/>
  </w:num>
  <w:num w:numId="4">
    <w:abstractNumId w:val="29"/>
  </w:num>
  <w:num w:numId="5">
    <w:abstractNumId w:val="15"/>
  </w:num>
  <w:num w:numId="6">
    <w:abstractNumId w:val="24"/>
  </w:num>
  <w:num w:numId="7">
    <w:abstractNumId w:val="13"/>
  </w:num>
  <w:num w:numId="8">
    <w:abstractNumId w:val="6"/>
  </w:num>
  <w:num w:numId="9">
    <w:abstractNumId w:val="11"/>
  </w:num>
  <w:num w:numId="10">
    <w:abstractNumId w:val="23"/>
  </w:num>
  <w:num w:numId="11">
    <w:abstractNumId w:val="17"/>
  </w:num>
  <w:num w:numId="12">
    <w:abstractNumId w:val="26"/>
  </w:num>
  <w:num w:numId="13">
    <w:abstractNumId w:val="4"/>
  </w:num>
  <w:num w:numId="14">
    <w:abstractNumId w:val="14"/>
  </w:num>
  <w:num w:numId="15">
    <w:abstractNumId w:val="27"/>
  </w:num>
  <w:num w:numId="16">
    <w:abstractNumId w:val="3"/>
  </w:num>
  <w:num w:numId="17">
    <w:abstractNumId w:val="10"/>
  </w:num>
  <w:num w:numId="18">
    <w:abstractNumId w:val="20"/>
  </w:num>
  <w:num w:numId="19">
    <w:abstractNumId w:val="28"/>
  </w:num>
  <w:num w:numId="20">
    <w:abstractNumId w:val="21"/>
  </w:num>
  <w:num w:numId="21">
    <w:abstractNumId w:val="7"/>
  </w:num>
  <w:num w:numId="22">
    <w:abstractNumId w:val="16"/>
  </w:num>
  <w:num w:numId="23">
    <w:abstractNumId w:val="19"/>
  </w:num>
  <w:num w:numId="24">
    <w:abstractNumId w:val="22"/>
  </w:num>
  <w:num w:numId="25">
    <w:abstractNumId w:val="2"/>
  </w:num>
  <w:num w:numId="26">
    <w:abstractNumId w:val="18"/>
  </w:num>
  <w:num w:numId="27">
    <w:abstractNumId w:val="5"/>
  </w:num>
  <w:num w:numId="28">
    <w:abstractNumId w:val="1"/>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038"/>
    <w:rsid w:val="00001B0D"/>
    <w:rsid w:val="00010C71"/>
    <w:rsid w:val="0002588C"/>
    <w:rsid w:val="000264C6"/>
    <w:rsid w:val="00055733"/>
    <w:rsid w:val="00061711"/>
    <w:rsid w:val="000659BE"/>
    <w:rsid w:val="00077C5E"/>
    <w:rsid w:val="00095202"/>
    <w:rsid w:val="00095F79"/>
    <w:rsid w:val="000A20C7"/>
    <w:rsid w:val="000C306D"/>
    <w:rsid w:val="000E1A91"/>
    <w:rsid w:val="001031DA"/>
    <w:rsid w:val="001126AA"/>
    <w:rsid w:val="00124E41"/>
    <w:rsid w:val="00134139"/>
    <w:rsid w:val="00135CED"/>
    <w:rsid w:val="00161AB3"/>
    <w:rsid w:val="00176BCC"/>
    <w:rsid w:val="00186DDE"/>
    <w:rsid w:val="001914DA"/>
    <w:rsid w:val="001A55F0"/>
    <w:rsid w:val="00200659"/>
    <w:rsid w:val="00227079"/>
    <w:rsid w:val="0026067B"/>
    <w:rsid w:val="00260B26"/>
    <w:rsid w:val="002656C1"/>
    <w:rsid w:val="002859C1"/>
    <w:rsid w:val="00295D8E"/>
    <w:rsid w:val="002B190B"/>
    <w:rsid w:val="002F2F0A"/>
    <w:rsid w:val="002F4617"/>
    <w:rsid w:val="002F714B"/>
    <w:rsid w:val="003014CB"/>
    <w:rsid w:val="00313F92"/>
    <w:rsid w:val="003232D5"/>
    <w:rsid w:val="00332135"/>
    <w:rsid w:val="00362D32"/>
    <w:rsid w:val="0037161F"/>
    <w:rsid w:val="00374886"/>
    <w:rsid w:val="003A0237"/>
    <w:rsid w:val="003C7BC2"/>
    <w:rsid w:val="003D12D5"/>
    <w:rsid w:val="003E6DD7"/>
    <w:rsid w:val="003F2ADB"/>
    <w:rsid w:val="003F3A71"/>
    <w:rsid w:val="00423769"/>
    <w:rsid w:val="004278D8"/>
    <w:rsid w:val="004452D1"/>
    <w:rsid w:val="00445DC7"/>
    <w:rsid w:val="00447DF5"/>
    <w:rsid w:val="0045070C"/>
    <w:rsid w:val="004558FE"/>
    <w:rsid w:val="00466E36"/>
    <w:rsid w:val="00476489"/>
    <w:rsid w:val="00477F38"/>
    <w:rsid w:val="00493D18"/>
    <w:rsid w:val="004B2FD3"/>
    <w:rsid w:val="004E48C5"/>
    <w:rsid w:val="004F1E04"/>
    <w:rsid w:val="00542FBF"/>
    <w:rsid w:val="00547980"/>
    <w:rsid w:val="00566E07"/>
    <w:rsid w:val="005915CF"/>
    <w:rsid w:val="005B4733"/>
    <w:rsid w:val="005D2D77"/>
    <w:rsid w:val="005D3D87"/>
    <w:rsid w:val="005D4D58"/>
    <w:rsid w:val="00615CF5"/>
    <w:rsid w:val="00633AB5"/>
    <w:rsid w:val="006449ED"/>
    <w:rsid w:val="00646929"/>
    <w:rsid w:val="006604A7"/>
    <w:rsid w:val="006B2164"/>
    <w:rsid w:val="006D14E4"/>
    <w:rsid w:val="006D71AB"/>
    <w:rsid w:val="006F574E"/>
    <w:rsid w:val="00706695"/>
    <w:rsid w:val="0071066B"/>
    <w:rsid w:val="00713988"/>
    <w:rsid w:val="00734D41"/>
    <w:rsid w:val="00734F00"/>
    <w:rsid w:val="00745E09"/>
    <w:rsid w:val="00754ED0"/>
    <w:rsid w:val="007658B0"/>
    <w:rsid w:val="007749D2"/>
    <w:rsid w:val="00775347"/>
    <w:rsid w:val="00780A6B"/>
    <w:rsid w:val="00781E62"/>
    <w:rsid w:val="007913C3"/>
    <w:rsid w:val="00796116"/>
    <w:rsid w:val="007B3B1C"/>
    <w:rsid w:val="007B645F"/>
    <w:rsid w:val="007B78F8"/>
    <w:rsid w:val="007C4CFE"/>
    <w:rsid w:val="007D0486"/>
    <w:rsid w:val="007D0C74"/>
    <w:rsid w:val="007F18AB"/>
    <w:rsid w:val="007F3DA5"/>
    <w:rsid w:val="0081278A"/>
    <w:rsid w:val="00823949"/>
    <w:rsid w:val="008253A0"/>
    <w:rsid w:val="008511AE"/>
    <w:rsid w:val="008810AF"/>
    <w:rsid w:val="00887E45"/>
    <w:rsid w:val="008C2E6A"/>
    <w:rsid w:val="008C6631"/>
    <w:rsid w:val="008D64AB"/>
    <w:rsid w:val="008E50FB"/>
    <w:rsid w:val="008F178A"/>
    <w:rsid w:val="008F293F"/>
    <w:rsid w:val="00900969"/>
    <w:rsid w:val="00911038"/>
    <w:rsid w:val="0093242F"/>
    <w:rsid w:val="00941FC9"/>
    <w:rsid w:val="00954B86"/>
    <w:rsid w:val="00955BE7"/>
    <w:rsid w:val="009707FE"/>
    <w:rsid w:val="00976774"/>
    <w:rsid w:val="00977945"/>
    <w:rsid w:val="009A27A5"/>
    <w:rsid w:val="009D287D"/>
    <w:rsid w:val="00A11957"/>
    <w:rsid w:val="00A275AD"/>
    <w:rsid w:val="00A35157"/>
    <w:rsid w:val="00A424E3"/>
    <w:rsid w:val="00A4520A"/>
    <w:rsid w:val="00A533F0"/>
    <w:rsid w:val="00A83598"/>
    <w:rsid w:val="00A9505F"/>
    <w:rsid w:val="00A952AB"/>
    <w:rsid w:val="00AB046E"/>
    <w:rsid w:val="00AB5429"/>
    <w:rsid w:val="00AE14E0"/>
    <w:rsid w:val="00AF370C"/>
    <w:rsid w:val="00AF75A3"/>
    <w:rsid w:val="00B13C68"/>
    <w:rsid w:val="00B207C3"/>
    <w:rsid w:val="00B31C31"/>
    <w:rsid w:val="00B4670D"/>
    <w:rsid w:val="00B52491"/>
    <w:rsid w:val="00B65458"/>
    <w:rsid w:val="00B74953"/>
    <w:rsid w:val="00B7773A"/>
    <w:rsid w:val="00BA67B0"/>
    <w:rsid w:val="00BC5491"/>
    <w:rsid w:val="00BF789A"/>
    <w:rsid w:val="00C24D55"/>
    <w:rsid w:val="00C402A6"/>
    <w:rsid w:val="00C55C0A"/>
    <w:rsid w:val="00C57AF9"/>
    <w:rsid w:val="00C658D9"/>
    <w:rsid w:val="00C929B0"/>
    <w:rsid w:val="00CA1B41"/>
    <w:rsid w:val="00CA432E"/>
    <w:rsid w:val="00CD549E"/>
    <w:rsid w:val="00CD7BC1"/>
    <w:rsid w:val="00D0151E"/>
    <w:rsid w:val="00D62E92"/>
    <w:rsid w:val="00D63ED9"/>
    <w:rsid w:val="00DC3F64"/>
    <w:rsid w:val="00DC552C"/>
    <w:rsid w:val="00DD549B"/>
    <w:rsid w:val="00E27429"/>
    <w:rsid w:val="00E9085A"/>
    <w:rsid w:val="00EA573F"/>
    <w:rsid w:val="00EC082F"/>
    <w:rsid w:val="00EC4660"/>
    <w:rsid w:val="00F20AFC"/>
    <w:rsid w:val="00F47F20"/>
    <w:rsid w:val="00F6464A"/>
    <w:rsid w:val="00F67142"/>
    <w:rsid w:val="00FA4BF2"/>
    <w:rsid w:val="00FB1077"/>
    <w:rsid w:val="00FE4DDC"/>
    <w:rsid w:val="00FF052B"/>
    <w:rsid w:val="2C9FEF38"/>
    <w:rsid w:val="32B5D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28C0F0"/>
  <w15:docId w15:val="{EDDE3BFA-12F1-478B-8AF9-C4437B08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Rubrik1">
    <w:name w:val="heading 1"/>
    <w:basedOn w:val="Normal"/>
    <w:next w:val="Normal"/>
    <w:link w:val="Rubrik1Char"/>
    <w:qFormat/>
    <w:rsid w:val="0026067B"/>
    <w:pPr>
      <w:keepNext/>
      <w:spacing w:before="60" w:after="120" w:line="240" w:lineRule="auto"/>
      <w:outlineLvl w:val="0"/>
    </w:pPr>
    <w:rPr>
      <w:rFonts w:ascii="Verdana" w:hAnsi="Verdana"/>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103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1038"/>
  </w:style>
  <w:style w:type="paragraph" w:styleId="Sidfot">
    <w:name w:val="footer"/>
    <w:basedOn w:val="Normal"/>
    <w:link w:val="SidfotChar"/>
    <w:uiPriority w:val="99"/>
    <w:unhideWhenUsed/>
    <w:rsid w:val="0091103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1038"/>
  </w:style>
  <w:style w:type="paragraph" w:styleId="Ballongtext">
    <w:name w:val="Balloon Text"/>
    <w:basedOn w:val="Normal"/>
    <w:link w:val="BallongtextChar"/>
    <w:uiPriority w:val="99"/>
    <w:semiHidden/>
    <w:unhideWhenUsed/>
    <w:rsid w:val="00911038"/>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911038"/>
    <w:rPr>
      <w:rFonts w:ascii="Tahoma" w:hAnsi="Tahoma" w:cs="Tahoma"/>
      <w:sz w:val="16"/>
      <w:szCs w:val="16"/>
    </w:rPr>
  </w:style>
  <w:style w:type="character" w:styleId="Platshllartext">
    <w:name w:val="Placeholder Text"/>
    <w:uiPriority w:val="99"/>
    <w:semiHidden/>
    <w:rsid w:val="00001B0D"/>
    <w:rPr>
      <w:color w:val="808080"/>
    </w:rPr>
  </w:style>
  <w:style w:type="paragraph" w:styleId="Brdtextmedindrag">
    <w:name w:val="Body Text Indent"/>
    <w:basedOn w:val="Normal"/>
    <w:link w:val="BrdtextmedindragChar"/>
    <w:rsid w:val="006D71AB"/>
    <w:pPr>
      <w:spacing w:after="0" w:line="240" w:lineRule="auto"/>
      <w:ind w:left="900" w:hanging="900"/>
    </w:pPr>
    <w:rPr>
      <w:rFonts w:ascii="Times New Roman" w:hAnsi="Times New Roman"/>
      <w:sz w:val="24"/>
      <w:szCs w:val="24"/>
    </w:rPr>
  </w:style>
  <w:style w:type="character" w:customStyle="1" w:styleId="BrdtextmedindragChar">
    <w:name w:val="Brödtext med indrag Char"/>
    <w:link w:val="Brdtextmedindrag"/>
    <w:rsid w:val="006D71AB"/>
    <w:rPr>
      <w:rFonts w:ascii="Times New Roman" w:eastAsia="Times New Roman" w:hAnsi="Times New Roman" w:cs="Times New Roman"/>
      <w:sz w:val="24"/>
      <w:szCs w:val="24"/>
      <w:lang w:eastAsia="sv-SE"/>
    </w:rPr>
  </w:style>
  <w:style w:type="paragraph" w:styleId="Brdtext">
    <w:name w:val="Body Text"/>
    <w:basedOn w:val="Normal"/>
    <w:link w:val="BrdtextChar"/>
    <w:rsid w:val="006D71AB"/>
    <w:pPr>
      <w:spacing w:after="120" w:line="240" w:lineRule="auto"/>
    </w:pPr>
    <w:rPr>
      <w:rFonts w:ascii="Times New Roman" w:hAnsi="Times New Roman"/>
      <w:sz w:val="20"/>
      <w:szCs w:val="20"/>
    </w:rPr>
  </w:style>
  <w:style w:type="character" w:customStyle="1" w:styleId="BrdtextChar">
    <w:name w:val="Brödtext Char"/>
    <w:link w:val="Brdtext"/>
    <w:rsid w:val="006D71AB"/>
    <w:rPr>
      <w:rFonts w:ascii="Times New Roman" w:eastAsia="Times New Roman" w:hAnsi="Times New Roman" w:cs="Times New Roman"/>
      <w:sz w:val="20"/>
      <w:szCs w:val="20"/>
      <w:lang w:eastAsia="sv-SE"/>
    </w:rPr>
  </w:style>
  <w:style w:type="table" w:styleId="Tabellrutnt">
    <w:name w:val="Table Grid"/>
    <w:basedOn w:val="Normaltabell"/>
    <w:uiPriority w:val="59"/>
    <w:rsid w:val="006D71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CD7BC1"/>
    <w:rPr>
      <w:color w:val="0000FF"/>
      <w:u w:val="single"/>
    </w:rPr>
  </w:style>
  <w:style w:type="character" w:styleId="AnvndHyperlnk">
    <w:name w:val="FollowedHyperlink"/>
    <w:uiPriority w:val="99"/>
    <w:semiHidden/>
    <w:unhideWhenUsed/>
    <w:rsid w:val="00CD7BC1"/>
    <w:rPr>
      <w:color w:val="800080"/>
      <w:u w:val="single"/>
    </w:rPr>
  </w:style>
  <w:style w:type="paragraph" w:styleId="Liststycke">
    <w:name w:val="List Paragraph"/>
    <w:basedOn w:val="Normal"/>
    <w:uiPriority w:val="34"/>
    <w:qFormat/>
    <w:rsid w:val="00B52491"/>
    <w:pPr>
      <w:ind w:left="720"/>
      <w:contextualSpacing/>
    </w:pPr>
  </w:style>
  <w:style w:type="character" w:customStyle="1" w:styleId="Rubrik1Char">
    <w:name w:val="Rubrik 1 Char"/>
    <w:link w:val="Rubrik1"/>
    <w:rsid w:val="0026067B"/>
    <w:rPr>
      <w:rFonts w:ascii="Verdana" w:eastAsia="Times New Roman" w:hAnsi="Verdana" w:cs="Times New Roman"/>
      <w:b/>
      <w:sz w:val="20"/>
      <w:szCs w:val="20"/>
    </w:rPr>
  </w:style>
  <w:style w:type="paragraph" w:customStyle="1" w:styleId="CenturiBrdtext">
    <w:name w:val="Centuri Brödtext"/>
    <w:rsid w:val="00F20AFC"/>
    <w:rPr>
      <w:rFonts w:ascii="Verdana" w:hAnsi="Verdana"/>
      <w:sz w:val="24"/>
      <w:szCs w:val="24"/>
    </w:rPr>
  </w:style>
  <w:style w:type="paragraph" w:customStyle="1" w:styleId="CenturiRubrik2">
    <w:name w:val="Centuri Rubrik 2"/>
    <w:rsid w:val="00061711"/>
    <w:rPr>
      <w:rFonts w:ascii="Verdana" w:hAnsi="Verdana"/>
      <w:b/>
      <w:caps/>
      <w:sz w:val="24"/>
      <w:szCs w:val="24"/>
    </w:rPr>
  </w:style>
  <w:style w:type="paragraph" w:customStyle="1" w:styleId="Default">
    <w:name w:val="Default"/>
    <w:rsid w:val="00B31C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849761">
      <w:bodyDiv w:val="1"/>
      <w:marLeft w:val="0"/>
      <w:marRight w:val="0"/>
      <w:marTop w:val="0"/>
      <w:marBottom w:val="0"/>
      <w:divBdr>
        <w:top w:val="none" w:sz="0" w:space="0" w:color="auto"/>
        <w:left w:val="none" w:sz="0" w:space="0" w:color="auto"/>
        <w:bottom w:val="none" w:sz="0" w:space="0" w:color="auto"/>
        <w:right w:val="none" w:sz="0" w:space="0" w:color="auto"/>
      </w:divBdr>
    </w:div>
    <w:div w:id="1673339814">
      <w:bodyDiv w:val="1"/>
      <w:marLeft w:val="0"/>
      <w:marRight w:val="0"/>
      <w:marTop w:val="0"/>
      <w:marBottom w:val="0"/>
      <w:divBdr>
        <w:top w:val="none" w:sz="0" w:space="0" w:color="auto"/>
        <w:left w:val="none" w:sz="0" w:space="0" w:color="auto"/>
        <w:bottom w:val="none" w:sz="0" w:space="0" w:color="auto"/>
        <w:right w:val="none" w:sz="0" w:space="0" w:color="auto"/>
      </w:divBdr>
    </w:div>
    <w:div w:id="18928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BE91716FE57404FA7D5AA7315F91D10" ma:contentTypeVersion="0" ma:contentTypeDescription="Skapa ett nytt dokument." ma:contentTypeScope="" ma:versionID="5501de63df12d003aebf20ec8da8bc69">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D99EF-BF92-4A22-9B73-CCB03FEA8B17}">
  <ds:schemaRefs>
    <ds:schemaRef ds:uri="http://schemas.microsoft.com/sharepoint/v3/contenttype/forms"/>
  </ds:schemaRefs>
</ds:datastoreItem>
</file>

<file path=customXml/itemProps2.xml><?xml version="1.0" encoding="utf-8"?>
<ds:datastoreItem xmlns:ds="http://schemas.openxmlformats.org/officeDocument/2006/customXml" ds:itemID="{54855972-7FA6-4CE1-B5A7-B4D6ABFBFD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0E6DA6-C3E5-425C-A689-218D1298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1159</Words>
  <Characters>6143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Anvisning för personaldosimetri</vt:lpstr>
    </vt:vector>
  </TitlesOfParts>
  <Company>SLL IT</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för personaldosimetri</dc:title>
  <dc:subject>Strålsäkerhetskommittén SLU</dc:subject>
  <dc:creator>Enn Maripuu</dc:creator>
  <cp:keywords/>
  <cp:lastModifiedBy>Enn</cp:lastModifiedBy>
  <cp:revision>2</cp:revision>
  <cp:lastPrinted>2015-06-03T20:33:00Z</cp:lastPrinted>
  <dcterms:created xsi:type="dcterms:W3CDTF">2020-02-25T07:40:00Z</dcterms:created>
  <dcterms:modified xsi:type="dcterms:W3CDTF">2020-02-25T07:40:00Z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0x010100ABE91716FE57404FA7D5AA7315F91D10</vt:lpwstr>
  </property>
</Properties>
</file>