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03" w:rsidRDefault="00DF5772">
      <w:pPr>
        <w:rPr>
          <w:lang w:val="sv-SE"/>
        </w:rPr>
      </w:pPr>
      <w:r>
        <w:rPr>
          <w:lang w:val="sv-SE"/>
        </w:rPr>
        <w:t xml:space="preserve">På grund av byte av anläggningsmodul kommer anläggningsfunktionen i Agresso att vara </w:t>
      </w:r>
      <w:r w:rsidR="008C5DEF">
        <w:rPr>
          <w:lang w:val="sv-SE"/>
        </w:rPr>
        <w:t xml:space="preserve">avstängd mellan 22/3 och 25/3. </w:t>
      </w:r>
    </w:p>
    <w:p w:rsidR="00211103" w:rsidRDefault="00211103">
      <w:pPr>
        <w:rPr>
          <w:lang w:val="sv-SE"/>
        </w:rPr>
      </w:pPr>
      <w:r>
        <w:rPr>
          <w:lang w:val="sv-SE"/>
        </w:rPr>
        <w:t xml:space="preserve">Under tiden som anläggningsmodulen är avstängd kan man fortfarande slutattestera fakturor </w:t>
      </w:r>
      <w:r w:rsidR="003262FD">
        <w:rPr>
          <w:lang w:val="sv-SE"/>
        </w:rPr>
        <w:t xml:space="preserve">som avser sådana inköp </w:t>
      </w:r>
      <w:r>
        <w:rPr>
          <w:lang w:val="sv-SE"/>
        </w:rPr>
        <w:t>i Baltzar</w:t>
      </w:r>
      <w:r w:rsidR="003262FD">
        <w:rPr>
          <w:lang w:val="sv-SE"/>
        </w:rPr>
        <w:t>.</w:t>
      </w:r>
    </w:p>
    <w:p w:rsidR="00211103" w:rsidRDefault="00211103">
      <w:pPr>
        <w:rPr>
          <w:lang w:val="sv-SE"/>
        </w:rPr>
      </w:pPr>
      <w:r>
        <w:rPr>
          <w:lang w:val="sv-SE"/>
        </w:rPr>
        <w:t>Med anledning av bytet kommer en del av rutinerna kring anläggningstillgångar att ändras.</w:t>
      </w:r>
    </w:p>
    <w:p w:rsidR="00873F6A" w:rsidRDefault="00596C70">
      <w:pPr>
        <w:rPr>
          <w:lang w:val="sv-SE"/>
        </w:rPr>
      </w:pPr>
      <w:r>
        <w:rPr>
          <w:lang w:val="sv-SE"/>
        </w:rPr>
        <w:t>Alla fakturor som rör inköp</w:t>
      </w:r>
      <w:r w:rsidR="00DF5772">
        <w:rPr>
          <w:lang w:val="sv-SE"/>
        </w:rPr>
        <w:t xml:space="preserve"> som ska läggas upp i</w:t>
      </w:r>
      <w:r>
        <w:rPr>
          <w:lang w:val="sv-SE"/>
        </w:rPr>
        <w:t xml:space="preserve"> anläggningsregistret</w:t>
      </w:r>
      <w:r w:rsidR="003262FD">
        <w:rPr>
          <w:lang w:val="sv-SE"/>
        </w:rPr>
        <w:t>,</w:t>
      </w:r>
      <w:r>
        <w:rPr>
          <w:lang w:val="sv-SE"/>
        </w:rPr>
        <w:t xml:space="preserve"> ska</w:t>
      </w:r>
      <w:r w:rsidR="00DF5772">
        <w:rPr>
          <w:lang w:val="sv-SE"/>
        </w:rPr>
        <w:t xml:space="preserve"> från och med nu</w:t>
      </w:r>
      <w:r>
        <w:rPr>
          <w:lang w:val="sv-SE"/>
        </w:rPr>
        <w:t xml:space="preserve"> konteras på konto 1599</w:t>
      </w:r>
      <w:r w:rsidR="00211103">
        <w:rPr>
          <w:lang w:val="sv-SE"/>
        </w:rPr>
        <w:t xml:space="preserve"> i Baltzar</w:t>
      </w:r>
      <w:r>
        <w:rPr>
          <w:lang w:val="sv-SE"/>
        </w:rPr>
        <w:t>.</w:t>
      </w:r>
      <w:r w:rsidR="0081070A">
        <w:rPr>
          <w:lang w:val="sv-SE"/>
        </w:rPr>
        <w:t xml:space="preserve"> </w:t>
      </w:r>
      <w:r w:rsidR="009F0479">
        <w:rPr>
          <w:lang w:val="sv-SE"/>
        </w:rPr>
        <w:t>En anläggningsblankett måste bifogas innan man skickar fakturan vidare till nästa roll i flödet. P</w:t>
      </w:r>
      <w:r w:rsidR="00480E35">
        <w:rPr>
          <w:lang w:val="sv-SE"/>
        </w:rPr>
        <w:t xml:space="preserve">å anläggningsblanketten </w:t>
      </w:r>
      <w:r w:rsidR="009F0479">
        <w:rPr>
          <w:lang w:val="sv-SE"/>
        </w:rPr>
        <w:t xml:space="preserve">anges </w:t>
      </w:r>
      <w:r w:rsidR="001A40D0">
        <w:rPr>
          <w:lang w:val="sv-SE"/>
        </w:rPr>
        <w:t xml:space="preserve">vilket </w:t>
      </w:r>
      <w:r w:rsidR="00480E35">
        <w:rPr>
          <w:lang w:val="sv-SE"/>
        </w:rPr>
        <w:t>konto</w:t>
      </w:r>
      <w:r w:rsidR="00183882">
        <w:rPr>
          <w:lang w:val="sv-SE"/>
        </w:rPr>
        <w:t xml:space="preserve"> anläggningen ska </w:t>
      </w:r>
      <w:r w:rsidR="001A40D0">
        <w:rPr>
          <w:lang w:val="sv-SE"/>
        </w:rPr>
        <w:t>bokföras</w:t>
      </w:r>
      <w:r w:rsidR="00183882">
        <w:rPr>
          <w:lang w:val="sv-SE"/>
        </w:rPr>
        <w:t xml:space="preserve"> på samt vilket projekt (dim2) </w:t>
      </w:r>
      <w:r w:rsidR="009639CD">
        <w:rPr>
          <w:lang w:val="sv-SE"/>
        </w:rPr>
        <w:t xml:space="preserve">och ev. fritt fält </w:t>
      </w:r>
      <w:r w:rsidR="00183882">
        <w:rPr>
          <w:lang w:val="sv-SE"/>
        </w:rPr>
        <w:t>som avskrivningarna ska belasta.</w:t>
      </w:r>
      <w:r w:rsidR="00480E35">
        <w:rPr>
          <w:lang w:val="sv-SE"/>
        </w:rPr>
        <w:t xml:space="preserve"> </w:t>
      </w:r>
      <w:r w:rsidR="00873F6A">
        <w:rPr>
          <w:lang w:val="sv-SE"/>
        </w:rPr>
        <w:t xml:space="preserve">Ska avskrivningarna belasta flera projekt anges </w:t>
      </w:r>
      <w:r w:rsidR="00326C94">
        <w:rPr>
          <w:lang w:val="sv-SE"/>
        </w:rPr>
        <w:t>det</w:t>
      </w:r>
      <w:r w:rsidR="00873F6A">
        <w:rPr>
          <w:lang w:val="sv-SE"/>
        </w:rPr>
        <w:t xml:space="preserve"> på anläggningsblanketten.</w:t>
      </w:r>
      <w:r w:rsidR="009639CD">
        <w:rPr>
          <w:lang w:val="sv-SE"/>
        </w:rPr>
        <w:t xml:space="preserve"> Även konteringen för förbrukningsinventarier som ska in i anläggningsregistret anges på blanketten.</w:t>
      </w:r>
    </w:p>
    <w:p w:rsidR="007D694F" w:rsidRDefault="007D694F">
      <w:pPr>
        <w:rPr>
          <w:lang w:val="sv-SE"/>
        </w:rPr>
      </w:pPr>
      <w:r>
        <w:rPr>
          <w:lang w:val="sv-SE"/>
        </w:rPr>
        <w:t xml:space="preserve">Anläggningsrollen i Baltzar </w:t>
      </w:r>
      <w:r w:rsidR="009F0479">
        <w:rPr>
          <w:lang w:val="sv-SE"/>
        </w:rPr>
        <w:t xml:space="preserve">försvinner eftersom </w:t>
      </w:r>
      <w:r>
        <w:rPr>
          <w:lang w:val="sv-SE"/>
        </w:rPr>
        <w:t>anläggningstillgångar</w:t>
      </w:r>
      <w:r w:rsidR="009F0479">
        <w:rPr>
          <w:lang w:val="sv-SE"/>
        </w:rPr>
        <w:t>na kommer att aktiveras av ekonomienheten</w:t>
      </w:r>
      <w:r>
        <w:rPr>
          <w:lang w:val="sv-SE"/>
        </w:rPr>
        <w:t xml:space="preserve"> </w:t>
      </w:r>
      <w:r w:rsidR="009F0479">
        <w:rPr>
          <w:lang w:val="sv-SE"/>
        </w:rPr>
        <w:t xml:space="preserve">direkt i Agresso. </w:t>
      </w:r>
      <w:r w:rsidR="003411B9">
        <w:rPr>
          <w:lang w:val="sv-SE"/>
        </w:rPr>
        <w:t xml:space="preserve">Till skillnad från tidigare kan en faktura slutattesteras innan anläggningen är registrerad och det är därför mycket </w:t>
      </w:r>
      <w:r>
        <w:rPr>
          <w:lang w:val="sv-SE"/>
        </w:rPr>
        <w:t>viktigt att anläggningsblan</w:t>
      </w:r>
      <w:r w:rsidR="00480E35">
        <w:rPr>
          <w:lang w:val="sv-SE"/>
        </w:rPr>
        <w:t>ketten är korrekt ifylld</w:t>
      </w:r>
      <w:r w:rsidR="00183882">
        <w:rPr>
          <w:lang w:val="sv-SE"/>
        </w:rPr>
        <w:t xml:space="preserve"> och bifogad</w:t>
      </w:r>
      <w:r w:rsidR="00480E35">
        <w:rPr>
          <w:lang w:val="sv-SE"/>
        </w:rPr>
        <w:t>.</w:t>
      </w:r>
      <w:r>
        <w:rPr>
          <w:lang w:val="sv-SE"/>
        </w:rPr>
        <w:t xml:space="preserve"> </w:t>
      </w:r>
    </w:p>
    <w:p w:rsidR="00480E35" w:rsidRDefault="00480E35">
      <w:pPr>
        <w:rPr>
          <w:lang w:val="sv-SE"/>
        </w:rPr>
      </w:pPr>
      <w:r>
        <w:rPr>
          <w:lang w:val="sv-SE"/>
        </w:rPr>
        <w:t xml:space="preserve">Anläggningsblanketten har uppdaterats, se </w:t>
      </w:r>
      <w:r w:rsidR="00584518">
        <w:rPr>
          <w:lang w:val="sv-SE"/>
        </w:rPr>
        <w:t xml:space="preserve">under punkt 3 här: </w:t>
      </w:r>
      <w:hyperlink r:id="rId4" w:history="1">
        <w:r w:rsidR="00584518" w:rsidRPr="00F145A5">
          <w:rPr>
            <w:rStyle w:val="Hyperlnk"/>
            <w:lang w:val="sv-SE"/>
          </w:rPr>
          <w:t>https://internt.slu</w:t>
        </w:r>
        <w:r w:rsidR="00584518" w:rsidRPr="00F145A5">
          <w:rPr>
            <w:rStyle w:val="Hyperlnk"/>
            <w:lang w:val="sv-SE"/>
          </w:rPr>
          <w:t>.</w:t>
        </w:r>
        <w:r w:rsidR="00584518" w:rsidRPr="00F145A5">
          <w:rPr>
            <w:rStyle w:val="Hyperlnk"/>
            <w:lang w:val="sv-SE"/>
          </w:rPr>
          <w:t>se/sv/stod-och-service/ekonomi/blanketter/</w:t>
        </w:r>
      </w:hyperlink>
      <w:r w:rsidR="00584518">
        <w:rPr>
          <w:lang w:val="sv-SE"/>
        </w:rPr>
        <w:tab/>
      </w:r>
      <w:r>
        <w:rPr>
          <w:lang w:val="sv-SE"/>
        </w:rPr>
        <w:t xml:space="preserve"> </w:t>
      </w:r>
      <w:r w:rsidR="00584518">
        <w:rPr>
          <w:lang w:val="sv-SE"/>
        </w:rPr>
        <w:br/>
      </w:r>
      <w:r>
        <w:rPr>
          <w:lang w:val="sv-SE"/>
        </w:rPr>
        <w:t>Vänligen använd endast denna blankett även om ni har en gammal sparad på er dator.</w:t>
      </w:r>
    </w:p>
    <w:p w:rsidR="00D846CC" w:rsidRDefault="00392074">
      <w:pPr>
        <w:rPr>
          <w:lang w:val="sv-SE"/>
        </w:rPr>
      </w:pPr>
      <w:r w:rsidRPr="00684BFC">
        <w:rPr>
          <w:lang w:val="sv-SE"/>
        </w:rPr>
        <w:t xml:space="preserve">Eventuella avvikelser från gällande avskrivningsprinciper anges på blanketten och </w:t>
      </w:r>
      <w:r w:rsidR="003411B9" w:rsidRPr="00684BFC">
        <w:rPr>
          <w:lang w:val="sv-SE"/>
        </w:rPr>
        <w:t>anses godkänd</w:t>
      </w:r>
      <w:r w:rsidR="00684BFC" w:rsidRPr="00684BFC">
        <w:rPr>
          <w:lang w:val="sv-SE"/>
        </w:rPr>
        <w:t>a</w:t>
      </w:r>
      <w:r w:rsidRPr="00684BFC">
        <w:rPr>
          <w:lang w:val="sv-SE"/>
        </w:rPr>
        <w:t xml:space="preserve"> </w:t>
      </w:r>
      <w:r w:rsidR="00684BFC" w:rsidRPr="00684BFC">
        <w:rPr>
          <w:lang w:val="sv-SE"/>
        </w:rPr>
        <w:t>när fakturan</w:t>
      </w:r>
      <w:r w:rsidRPr="00684BFC">
        <w:rPr>
          <w:lang w:val="sv-SE"/>
        </w:rPr>
        <w:t xml:space="preserve"> </w:t>
      </w:r>
      <w:r w:rsidR="00684BFC" w:rsidRPr="00684BFC">
        <w:rPr>
          <w:lang w:val="sv-SE"/>
        </w:rPr>
        <w:t>slutattesterats</w:t>
      </w:r>
      <w:r w:rsidRPr="00684BFC">
        <w:rPr>
          <w:lang w:val="sv-SE"/>
        </w:rPr>
        <w:t>.</w:t>
      </w:r>
      <w:r w:rsidR="003411B9">
        <w:rPr>
          <w:lang w:val="sv-SE"/>
        </w:rPr>
        <w:t xml:space="preserve"> </w:t>
      </w:r>
      <w:r w:rsidR="00684BFC">
        <w:rPr>
          <w:lang w:val="sv-SE"/>
        </w:rPr>
        <w:t xml:space="preserve">Om ekonomienheten är av annan uppfattning kommer kontakt att tas med institutionen. </w:t>
      </w:r>
    </w:p>
    <w:p w:rsidR="00873F6A" w:rsidRDefault="00873F6A">
      <w:pPr>
        <w:rPr>
          <w:lang w:val="sv-SE"/>
        </w:rPr>
      </w:pPr>
      <w:r>
        <w:rPr>
          <w:lang w:val="sv-SE"/>
        </w:rPr>
        <w:t>Anläggningarna numreras i den nya anläggningsmodulen automatiskt, sju siffror med start från 1000001.</w:t>
      </w:r>
      <w:r w:rsidR="007D694F">
        <w:rPr>
          <w:lang w:val="sv-SE"/>
        </w:rPr>
        <w:t xml:space="preserve"> </w:t>
      </w:r>
    </w:p>
    <w:p w:rsidR="007D694F" w:rsidRDefault="007D694F">
      <w:pPr>
        <w:rPr>
          <w:lang w:val="sv-SE"/>
        </w:rPr>
      </w:pPr>
      <w:r>
        <w:rPr>
          <w:lang w:val="sv-SE"/>
        </w:rPr>
        <w:t>Befintliga anläggningar behåller sina nummer så ingenting behöver märkas om.</w:t>
      </w:r>
    </w:p>
    <w:p w:rsidR="007D694F" w:rsidRDefault="006F1D49">
      <w:pPr>
        <w:rPr>
          <w:lang w:val="sv-SE"/>
        </w:rPr>
      </w:pPr>
      <w:r>
        <w:rPr>
          <w:lang w:val="sv-SE"/>
        </w:rPr>
        <w:t>I och med bytet till ny</w:t>
      </w:r>
      <w:r w:rsidR="006C3D58">
        <w:rPr>
          <w:lang w:val="sv-SE"/>
        </w:rPr>
        <w:t xml:space="preserve"> anläggningsmodul har en översyn av tillgångskonton gjorts för att minimera antalet konton i den mån det går. </w:t>
      </w:r>
      <w:r>
        <w:rPr>
          <w:lang w:val="sv-SE"/>
        </w:rPr>
        <w:t>De förändringar som är gjorda är att konto 1236</w:t>
      </w:r>
      <w:r w:rsidR="001C71BC">
        <w:rPr>
          <w:lang w:val="sv-SE"/>
        </w:rPr>
        <w:t xml:space="preserve"> (Datorer och kringutrustning, 5 års avskrivning)</w:t>
      </w:r>
      <w:r>
        <w:rPr>
          <w:lang w:val="sv-SE"/>
        </w:rPr>
        <w:t xml:space="preserve"> och </w:t>
      </w:r>
      <w:r w:rsidR="00643BA8">
        <w:rPr>
          <w:lang w:val="sv-SE"/>
        </w:rPr>
        <w:t xml:space="preserve">1237 (Övriga kontorsmaskiner, 5 års avskrivning) </w:t>
      </w:r>
      <w:r w:rsidR="00326C94">
        <w:rPr>
          <w:lang w:val="sv-SE"/>
        </w:rPr>
        <w:t>inte</w:t>
      </w:r>
      <w:r w:rsidR="00643BA8">
        <w:rPr>
          <w:lang w:val="sv-SE"/>
        </w:rPr>
        <w:t xml:space="preserve"> längre </w:t>
      </w:r>
      <w:r w:rsidR="00326C94">
        <w:rPr>
          <w:lang w:val="sv-SE"/>
        </w:rPr>
        <w:t xml:space="preserve">ska </w:t>
      </w:r>
      <w:r w:rsidR="00643BA8">
        <w:rPr>
          <w:lang w:val="sv-SE"/>
        </w:rPr>
        <w:t>användas.</w:t>
      </w:r>
      <w:r w:rsidR="001F1759">
        <w:rPr>
          <w:lang w:val="sv-SE"/>
        </w:rPr>
        <w:t xml:space="preserve"> </w:t>
      </w:r>
      <w:r w:rsidR="00A07D3D">
        <w:rPr>
          <w:lang w:val="sv-SE"/>
        </w:rPr>
        <w:t xml:space="preserve">All utrustning som ska skrivas av på 5 år bokförs </w:t>
      </w:r>
      <w:r w:rsidR="00326C94">
        <w:rPr>
          <w:lang w:val="sv-SE"/>
        </w:rPr>
        <w:t>framöver</w:t>
      </w:r>
      <w:r w:rsidR="00A07D3D">
        <w:rPr>
          <w:lang w:val="sv-SE"/>
        </w:rPr>
        <w:t xml:space="preserve"> på konto 1251</w:t>
      </w:r>
      <w:r w:rsidR="00C52B5E">
        <w:rPr>
          <w:lang w:val="sv-SE"/>
        </w:rPr>
        <w:t xml:space="preserve"> </w:t>
      </w:r>
      <w:r w:rsidR="00A07D3D">
        <w:rPr>
          <w:lang w:val="sv-SE"/>
        </w:rPr>
        <w:t>(Övrig utrustning, 5 års avskrivning).</w:t>
      </w:r>
      <w:r w:rsidR="00584518">
        <w:rPr>
          <w:lang w:val="sv-SE"/>
        </w:rPr>
        <w:t xml:space="preserve"> Se kontoförteckning nedan.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1"/>
        <w:gridCol w:w="1770"/>
        <w:gridCol w:w="649"/>
      </w:tblGrid>
      <w:tr w:rsidR="006F1D49" w:rsidRPr="00584518" w:rsidTr="00584518">
        <w:trPr>
          <w:tblCellSpacing w:w="15" w:type="dxa"/>
        </w:trPr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Typ av anläggningstillgång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Avskrivningstid, år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Konto</w:t>
            </w:r>
          </w:p>
        </w:tc>
      </w:tr>
      <w:tr w:rsidR="006F1D49" w:rsidRPr="00584518" w:rsidTr="00584518">
        <w:trPr>
          <w:tblCellSpacing w:w="15" w:type="dxa"/>
        </w:trPr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Persondatorer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3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1231</w:t>
            </w:r>
          </w:p>
        </w:tc>
      </w:tr>
      <w:tr w:rsidR="006F1D49" w:rsidRPr="00584518" w:rsidTr="00584518">
        <w:trPr>
          <w:tblCellSpacing w:w="15" w:type="dxa"/>
        </w:trPr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Tekniska anläggningar, tyngre utrustning inkl. lantbruks- och skogsmaskiner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7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1201</w:t>
            </w:r>
          </w:p>
        </w:tc>
      </w:tr>
      <w:tr w:rsidR="006F1D49" w:rsidRPr="00584518" w:rsidTr="00584518">
        <w:trPr>
          <w:tblCellSpacing w:w="15" w:type="dxa"/>
        </w:trPr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lastRenderedPageBreak/>
              <w:t>Övrig utrustning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5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 xml:space="preserve">1251 </w:t>
            </w:r>
          </w:p>
        </w:tc>
      </w:tr>
      <w:tr w:rsidR="006F1D49" w:rsidRPr="00584518" w:rsidTr="00584518">
        <w:trPr>
          <w:tblCellSpacing w:w="15" w:type="dxa"/>
        </w:trPr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Transportmedel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7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1241</w:t>
            </w:r>
          </w:p>
        </w:tc>
      </w:tr>
      <w:tr w:rsidR="006F1D49" w:rsidRPr="00584518" w:rsidTr="00584518">
        <w:trPr>
          <w:tblCellSpacing w:w="15" w:type="dxa"/>
        </w:trPr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Kontorsinredning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10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1206</w:t>
            </w:r>
          </w:p>
        </w:tc>
      </w:tr>
      <w:tr w:rsidR="006F1D49" w:rsidRPr="00584518" w:rsidTr="00584518">
        <w:trPr>
          <w:tblCellSpacing w:w="15" w:type="dxa"/>
        </w:trPr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Byggnadsinventarier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10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1206</w:t>
            </w:r>
          </w:p>
        </w:tc>
      </w:tr>
      <w:tr w:rsidR="006F1D49" w:rsidRPr="00584518" w:rsidTr="00584518">
        <w:trPr>
          <w:tblCellSpacing w:w="15" w:type="dxa"/>
        </w:trPr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Dragskåp och klimatkammare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15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1206</w:t>
            </w:r>
          </w:p>
        </w:tc>
      </w:tr>
      <w:tr w:rsidR="006F1D49" w:rsidRPr="00584518" w:rsidTr="00584518">
        <w:trPr>
          <w:tblCellSpacing w:w="15" w:type="dxa"/>
        </w:trPr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 xml:space="preserve">Övrig </w:t>
            </w:r>
            <w:proofErr w:type="spellStart"/>
            <w:r w:rsidRPr="00584518">
              <w:rPr>
                <w:lang w:val="sv-SE"/>
              </w:rPr>
              <w:t>labinredning</w:t>
            </w:r>
            <w:proofErr w:type="spellEnd"/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10</w:t>
            </w:r>
          </w:p>
        </w:tc>
        <w:tc>
          <w:tcPr>
            <w:tcW w:w="0" w:type="auto"/>
            <w:hideMark/>
          </w:tcPr>
          <w:p w:rsidR="006F1D49" w:rsidRPr="00584518" w:rsidRDefault="006F1D49" w:rsidP="00584518">
            <w:pPr>
              <w:rPr>
                <w:lang w:val="sv-SE"/>
              </w:rPr>
            </w:pPr>
            <w:r w:rsidRPr="00584518">
              <w:rPr>
                <w:lang w:val="sv-SE"/>
              </w:rPr>
              <w:t>1206</w:t>
            </w:r>
          </w:p>
        </w:tc>
      </w:tr>
    </w:tbl>
    <w:p w:rsidR="006F1D49" w:rsidRDefault="006F1D49">
      <w:pPr>
        <w:rPr>
          <w:lang w:val="sv-SE"/>
        </w:rPr>
      </w:pPr>
    </w:p>
    <w:p w:rsidR="00015698" w:rsidRDefault="00015698">
      <w:pPr>
        <w:rPr>
          <w:lang w:val="sv-SE"/>
        </w:rPr>
      </w:pPr>
      <w:r>
        <w:rPr>
          <w:lang w:val="sv-SE"/>
        </w:rPr>
        <w:t>Har du frågor kring detta kan du kontakta</w:t>
      </w:r>
    </w:p>
    <w:p w:rsidR="00596C70" w:rsidRPr="00015698" w:rsidRDefault="00015698">
      <w:pPr>
        <w:rPr>
          <w:lang w:val="sv-SE"/>
        </w:rPr>
      </w:pPr>
      <w:hyperlink r:id="rId5" w:history="1">
        <w:r w:rsidRPr="00015698">
          <w:rPr>
            <w:rStyle w:val="Hyperlnk"/>
            <w:lang w:val="sv-SE"/>
          </w:rPr>
          <w:t>inv-r</w:t>
        </w:r>
        <w:r w:rsidRPr="00015698">
          <w:rPr>
            <w:rStyle w:val="Hyperlnk"/>
            <w:lang w:val="sv-SE"/>
          </w:rPr>
          <w:t>e</w:t>
        </w:r>
        <w:r w:rsidRPr="00015698">
          <w:rPr>
            <w:rStyle w:val="Hyperlnk"/>
            <w:lang w:val="sv-SE"/>
          </w:rPr>
          <w:t>g@sl</w:t>
        </w:r>
        <w:r w:rsidRPr="00015698">
          <w:rPr>
            <w:rStyle w:val="Hyperlnk"/>
            <w:lang w:val="sv-SE"/>
          </w:rPr>
          <w:t>u</w:t>
        </w:r>
        <w:r w:rsidRPr="00015698">
          <w:rPr>
            <w:rStyle w:val="Hyperlnk"/>
            <w:lang w:val="sv-SE"/>
          </w:rPr>
          <w:t>.se</w:t>
        </w:r>
      </w:hyperlink>
      <w:r w:rsidRPr="00015698">
        <w:rPr>
          <w:lang w:val="sv-SE"/>
        </w:rPr>
        <w:tab/>
      </w:r>
      <w:r w:rsidRPr="00015698">
        <w:rPr>
          <w:lang w:val="sv-SE"/>
        </w:rPr>
        <w:br/>
        <w:t>eller</w:t>
      </w:r>
      <w:r w:rsidRPr="00015698">
        <w:rPr>
          <w:lang w:val="sv-SE"/>
        </w:rPr>
        <w:br/>
      </w:r>
      <w:hyperlink r:id="rId6" w:history="1">
        <w:r w:rsidRPr="00F145A5">
          <w:rPr>
            <w:rStyle w:val="Hyperlnk"/>
            <w:lang w:val="sv-SE"/>
          </w:rPr>
          <w:t>stefan.werner@slu.se</w:t>
        </w:r>
      </w:hyperlink>
      <w:r>
        <w:rPr>
          <w:lang w:val="sv-SE"/>
        </w:rPr>
        <w:br/>
      </w:r>
      <w:r>
        <w:rPr>
          <w:lang w:val="sv-SE"/>
        </w:rPr>
        <w:br/>
      </w:r>
    </w:p>
    <w:sectPr w:rsidR="00596C70" w:rsidRPr="00015698" w:rsidSect="00E33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596C70"/>
    <w:rsid w:val="00015698"/>
    <w:rsid w:val="000B6472"/>
    <w:rsid w:val="000E4EDD"/>
    <w:rsid w:val="00107CE0"/>
    <w:rsid w:val="00183882"/>
    <w:rsid w:val="00195373"/>
    <w:rsid w:val="001A40D0"/>
    <w:rsid w:val="001C71BC"/>
    <w:rsid w:val="001E7CBD"/>
    <w:rsid w:val="001F1759"/>
    <w:rsid w:val="00211103"/>
    <w:rsid w:val="00272DF1"/>
    <w:rsid w:val="002A5343"/>
    <w:rsid w:val="002B2403"/>
    <w:rsid w:val="002B3166"/>
    <w:rsid w:val="002D7C74"/>
    <w:rsid w:val="002E70B3"/>
    <w:rsid w:val="003262FD"/>
    <w:rsid w:val="00326C94"/>
    <w:rsid w:val="003411B9"/>
    <w:rsid w:val="00392074"/>
    <w:rsid w:val="003E5890"/>
    <w:rsid w:val="00480E35"/>
    <w:rsid w:val="004C2219"/>
    <w:rsid w:val="005022A5"/>
    <w:rsid w:val="00513FDF"/>
    <w:rsid w:val="00567794"/>
    <w:rsid w:val="00584518"/>
    <w:rsid w:val="0059163D"/>
    <w:rsid w:val="00596C70"/>
    <w:rsid w:val="006006C9"/>
    <w:rsid w:val="00614FD5"/>
    <w:rsid w:val="00643BA8"/>
    <w:rsid w:val="00684BFC"/>
    <w:rsid w:val="006B23CA"/>
    <w:rsid w:val="006B4FD0"/>
    <w:rsid w:val="006C3D58"/>
    <w:rsid w:val="006D155F"/>
    <w:rsid w:val="006E0BFC"/>
    <w:rsid w:val="006E70A7"/>
    <w:rsid w:val="006F1D49"/>
    <w:rsid w:val="00712173"/>
    <w:rsid w:val="00726415"/>
    <w:rsid w:val="0075372C"/>
    <w:rsid w:val="007B5A20"/>
    <w:rsid w:val="007D5E3B"/>
    <w:rsid w:val="007D694F"/>
    <w:rsid w:val="0081070A"/>
    <w:rsid w:val="00873F6A"/>
    <w:rsid w:val="008B32A9"/>
    <w:rsid w:val="008C5DEF"/>
    <w:rsid w:val="009202DF"/>
    <w:rsid w:val="009424AD"/>
    <w:rsid w:val="009639CD"/>
    <w:rsid w:val="00976258"/>
    <w:rsid w:val="009878BE"/>
    <w:rsid w:val="009F0479"/>
    <w:rsid w:val="00A05ACA"/>
    <w:rsid w:val="00A07D3D"/>
    <w:rsid w:val="00A11BC7"/>
    <w:rsid w:val="00A528B1"/>
    <w:rsid w:val="00A62F13"/>
    <w:rsid w:val="00A70FF3"/>
    <w:rsid w:val="00A81B7A"/>
    <w:rsid w:val="00A850C8"/>
    <w:rsid w:val="00AF6346"/>
    <w:rsid w:val="00B04B86"/>
    <w:rsid w:val="00B22560"/>
    <w:rsid w:val="00B62292"/>
    <w:rsid w:val="00B7524A"/>
    <w:rsid w:val="00BC5D19"/>
    <w:rsid w:val="00C52B5E"/>
    <w:rsid w:val="00C94ACF"/>
    <w:rsid w:val="00CF2C15"/>
    <w:rsid w:val="00D846CC"/>
    <w:rsid w:val="00DA10D8"/>
    <w:rsid w:val="00DE25EF"/>
    <w:rsid w:val="00DF5772"/>
    <w:rsid w:val="00E33956"/>
    <w:rsid w:val="00E63D21"/>
    <w:rsid w:val="00F152BB"/>
    <w:rsid w:val="00FB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AC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50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50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50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50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50C8"/>
    <w:rPr>
      <w:b/>
      <w:bCs/>
    </w:rPr>
  </w:style>
  <w:style w:type="paragraph" w:styleId="Revision">
    <w:name w:val="Revision"/>
    <w:hidden/>
    <w:uiPriority w:val="99"/>
    <w:semiHidden/>
    <w:rsid w:val="00A850C8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6F1D4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8451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845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.werner@slu.se" TargetMode="External"/><Relationship Id="rId5" Type="http://schemas.openxmlformats.org/officeDocument/2006/relationships/hyperlink" Target="mailto:inv-reg@slu.se" TargetMode="External"/><Relationship Id="rId4" Type="http://schemas.openxmlformats.org/officeDocument/2006/relationships/hyperlink" Target="https://internt.slu.se/sv/stod-och-service/ekonomi/blanket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SLU, jep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Werner</dc:creator>
  <cp:keywords/>
  <dc:description/>
  <cp:lastModifiedBy>Stefan Werner</cp:lastModifiedBy>
  <cp:revision>7</cp:revision>
  <cp:lastPrinted>2011-03-22T08:32:00Z</cp:lastPrinted>
  <dcterms:created xsi:type="dcterms:W3CDTF">2011-03-18T08:13:00Z</dcterms:created>
  <dcterms:modified xsi:type="dcterms:W3CDTF">2011-03-22T12:05:00Z</dcterms:modified>
</cp:coreProperties>
</file>