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3" w:rsidRDefault="00053573">
      <w:pPr>
        <w:tabs>
          <w:tab w:val="left" w:pos="6220"/>
        </w:tabs>
      </w:pPr>
    </w:p>
    <w:p w:rsidR="00053573" w:rsidRDefault="00053573">
      <w:pPr>
        <w:tabs>
          <w:tab w:val="left" w:pos="6220"/>
        </w:tabs>
      </w:pPr>
    </w:p>
    <w:p w:rsidR="006E48A0" w:rsidRDefault="006E48A0" w:rsidP="00925149">
      <w:pPr>
        <w:tabs>
          <w:tab w:val="left" w:pos="6220"/>
        </w:tabs>
        <w:rPr>
          <w:rFonts w:ascii="Times New Roman" w:hAnsi="Times New Roman"/>
          <w:sz w:val="28"/>
          <w:szCs w:val="28"/>
        </w:rPr>
      </w:pPr>
    </w:p>
    <w:p w:rsidR="006E48A0" w:rsidRDefault="006E48A0" w:rsidP="00925149">
      <w:pPr>
        <w:tabs>
          <w:tab w:val="left" w:pos="6220"/>
        </w:tabs>
        <w:rPr>
          <w:rFonts w:ascii="Times New Roman" w:hAnsi="Times New Roman"/>
          <w:sz w:val="28"/>
          <w:szCs w:val="28"/>
        </w:rPr>
      </w:pPr>
    </w:p>
    <w:p w:rsidR="006E48A0" w:rsidRDefault="006E48A0" w:rsidP="00925149">
      <w:pPr>
        <w:tabs>
          <w:tab w:val="left" w:pos="6220"/>
        </w:tabs>
        <w:rPr>
          <w:rFonts w:ascii="Times New Roman" w:hAnsi="Times New Roman"/>
          <w:sz w:val="28"/>
          <w:szCs w:val="28"/>
        </w:rPr>
      </w:pPr>
    </w:p>
    <w:p w:rsidR="00925149" w:rsidRPr="00B8105C" w:rsidRDefault="00925149" w:rsidP="00925149">
      <w:pPr>
        <w:tabs>
          <w:tab w:val="left" w:pos="6220"/>
        </w:tabs>
        <w:rPr>
          <w:rFonts w:ascii="Times New Roman" w:hAnsi="Times New Roman"/>
          <w:sz w:val="28"/>
          <w:szCs w:val="28"/>
        </w:rPr>
      </w:pPr>
      <w:r w:rsidRPr="00B8105C">
        <w:rPr>
          <w:rFonts w:ascii="Times New Roman" w:hAnsi="Times New Roman"/>
          <w:sz w:val="28"/>
          <w:szCs w:val="28"/>
        </w:rPr>
        <w:t>Innehåll:</w:t>
      </w:r>
    </w:p>
    <w:p w:rsidR="00925149" w:rsidRDefault="00925149" w:rsidP="00925149">
      <w:pPr>
        <w:numPr>
          <w:ilvl w:val="0"/>
          <w:numId w:val="1"/>
        </w:numPr>
        <w:tabs>
          <w:tab w:val="left" w:pos="62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Årlig inventering av anläggningar och in</w:t>
      </w:r>
      <w:r w:rsidR="008B4A9E">
        <w:rPr>
          <w:rFonts w:ascii="Times New Roman" w:hAnsi="Times New Roman"/>
          <w:sz w:val="28"/>
          <w:szCs w:val="28"/>
        </w:rPr>
        <w:t>ventarier senast fredagen den 17</w:t>
      </w:r>
      <w:r w:rsidR="00E05C72">
        <w:rPr>
          <w:rFonts w:ascii="Times New Roman" w:hAnsi="Times New Roman"/>
          <w:sz w:val="28"/>
          <w:szCs w:val="28"/>
        </w:rPr>
        <w:t xml:space="preserve"> september 2010</w:t>
      </w:r>
    </w:p>
    <w:p w:rsidR="00925149" w:rsidRDefault="00925149" w:rsidP="00925149">
      <w:pPr>
        <w:rPr>
          <w:rFonts w:ascii="Times New Roman" w:hAnsi="Times New Roman"/>
          <w:sz w:val="28"/>
          <w:szCs w:val="28"/>
        </w:rPr>
      </w:pPr>
    </w:p>
    <w:p w:rsidR="00A06E1E" w:rsidRDefault="00A06E1E" w:rsidP="00A06E1E">
      <w:r>
        <w:rPr>
          <w:rFonts w:ascii="Times New Roman" w:hAnsi="Times New Roman"/>
          <w:b/>
          <w:i/>
        </w:rPr>
        <w:t xml:space="preserve">OBS! </w:t>
      </w:r>
    </w:p>
    <w:p w:rsidR="00A06E1E" w:rsidRDefault="00A06E1E" w:rsidP="00A06E1E">
      <w:r>
        <w:t>Till skillnad från tidigare år har förbrukningsinventarier äldre än två år parkerats (status P) istället för spärrats (status C).</w:t>
      </w:r>
      <w:r w:rsidR="006C4BD2">
        <w:t xml:space="preserve"> Det innebär att förbrukningsinventarier med anskaffningsdatum 2007-06-30 eller tidigare har status C medan förbrukningsinventarier med anskaffningsdatum fr.o.m. 2007-07-01 t.o.m. 2008-06-30 har status P. </w:t>
      </w:r>
    </w:p>
    <w:p w:rsidR="0013084C" w:rsidRDefault="0013084C" w:rsidP="00A06E1E"/>
    <w:p w:rsidR="0006657F" w:rsidRDefault="00A06E1E" w:rsidP="00A06E1E">
      <w:r>
        <w:t xml:space="preserve">När ni tar ut inventeringsrapporten kan ni nu välja att inkludera parkerade och/eller spärrade förbrukningsinventarier. </w:t>
      </w:r>
      <w:r w:rsidR="0013084C">
        <w:t xml:space="preserve">Ekonomienheten ställer ej krav på att parkerade eller spärrade förbrukningsinventarier ska inventeras men </w:t>
      </w:r>
      <w:r w:rsidR="00593EEF">
        <w:t xml:space="preserve">möjligheten att </w:t>
      </w:r>
      <w:r w:rsidR="0013084C">
        <w:t>få med</w:t>
      </w:r>
      <w:r w:rsidR="00593EEF">
        <w:t xml:space="preserve"> </w:t>
      </w:r>
      <w:r w:rsidR="0013084C">
        <w:t>dessa i rapporten gör</w:t>
      </w:r>
      <w:r w:rsidR="00593EEF">
        <w:t xml:space="preserve"> att de som önskar inventera även dessa </w:t>
      </w:r>
      <w:r w:rsidR="0013084C">
        <w:t>kan</w:t>
      </w:r>
      <w:r w:rsidR="00C34171">
        <w:t xml:space="preserve"> göra</w:t>
      </w:r>
      <w:r w:rsidR="0013084C">
        <w:t xml:space="preserve"> det</w:t>
      </w:r>
      <w:r w:rsidR="00C34171">
        <w:t>.</w:t>
      </w:r>
      <w:r w:rsidR="00467323">
        <w:t xml:space="preserve"> </w:t>
      </w:r>
      <w:r w:rsidR="0013084C">
        <w:t>I</w:t>
      </w:r>
      <w:r w:rsidR="00C34171">
        <w:t>nventerings</w:t>
      </w:r>
      <w:r w:rsidR="0006657F">
        <w:t>rapportens grundinställning</w:t>
      </w:r>
      <w:r w:rsidR="0013084C">
        <w:t xml:space="preserve"> är att endast aktiva inventarier </w:t>
      </w:r>
      <w:r w:rsidR="00252D5F">
        <w:t>kommer med i listan</w:t>
      </w:r>
      <w:r w:rsidR="0006657F">
        <w:t>.</w:t>
      </w:r>
    </w:p>
    <w:p w:rsidR="0013084C" w:rsidRDefault="0013084C" w:rsidP="00A06E1E"/>
    <w:p w:rsidR="00A06E1E" w:rsidRDefault="00A06E1E" w:rsidP="00A06E1E">
      <w:r>
        <w:t xml:space="preserve">Läs mer om detta under avsnittet </w:t>
      </w:r>
      <w:r w:rsidRPr="006C4BD2">
        <w:rPr>
          <w:i/>
        </w:rPr>
        <w:t>arbetsgång</w:t>
      </w:r>
      <w:r>
        <w:t xml:space="preserve">.  </w:t>
      </w:r>
    </w:p>
    <w:p w:rsidR="006E48A0" w:rsidRDefault="006E48A0" w:rsidP="004719AC">
      <w:pPr>
        <w:outlineLvl w:val="0"/>
        <w:rPr>
          <w:rFonts w:ascii="Times New Roman" w:hAnsi="Times New Roman"/>
          <w:b/>
          <w:i/>
        </w:rPr>
      </w:pPr>
    </w:p>
    <w:p w:rsidR="006E48A0" w:rsidRDefault="006E48A0" w:rsidP="004719AC">
      <w:pPr>
        <w:outlineLvl w:val="0"/>
        <w:rPr>
          <w:rFonts w:ascii="Times New Roman" w:hAnsi="Times New Roman"/>
          <w:b/>
          <w:i/>
        </w:rPr>
      </w:pPr>
    </w:p>
    <w:p w:rsidR="00925149" w:rsidRPr="00A65613" w:rsidRDefault="00925149" w:rsidP="004719AC">
      <w:pPr>
        <w:outlineLvl w:val="0"/>
        <w:rPr>
          <w:rFonts w:ascii="Times New Roman" w:hAnsi="Times New Roman"/>
          <w:b/>
          <w:i/>
        </w:rPr>
      </w:pPr>
      <w:r w:rsidRPr="00A65613">
        <w:rPr>
          <w:rFonts w:ascii="Times New Roman" w:hAnsi="Times New Roman"/>
          <w:b/>
          <w:i/>
        </w:rPr>
        <w:t>Regelverk</w:t>
      </w:r>
    </w:p>
    <w:p w:rsidR="00925149" w:rsidRPr="001E452A" w:rsidRDefault="00925149" w:rsidP="00925149">
      <w:pPr>
        <w:rPr>
          <w:rFonts w:ascii="Times New Roman" w:hAnsi="Times New Roman"/>
          <w:b/>
        </w:rPr>
      </w:pPr>
      <w:r w:rsidRPr="00A65613">
        <w:rPr>
          <w:rFonts w:ascii="Times New Roman" w:hAnsi="Times New Roman"/>
        </w:rPr>
        <w:t>Enligt bokföringsförordningen skall myndigheten föra register över anläggningar och inventarier. Tidpunkt och belopp för förändringar</w:t>
      </w:r>
      <w:r w:rsidR="001E452A">
        <w:rPr>
          <w:rFonts w:ascii="Times New Roman" w:hAnsi="Times New Roman"/>
        </w:rPr>
        <w:t xml:space="preserve"> (t.ex. anskaffning, avyttring och avskrivning) i beståndet skall registreras. </w:t>
      </w:r>
      <w:r w:rsidRPr="00A65613">
        <w:rPr>
          <w:rFonts w:ascii="Times New Roman" w:hAnsi="Times New Roman"/>
          <w:b/>
        </w:rPr>
        <w:t>Registret skall innehålla uppgifter som gör det möjligt att identifiera tillgången</w:t>
      </w:r>
      <w:r w:rsidRPr="00A65613">
        <w:rPr>
          <w:rFonts w:ascii="Times New Roman" w:hAnsi="Times New Roman"/>
        </w:rPr>
        <w:t xml:space="preserve">. Inventarier och anläggningar skall </w:t>
      </w:r>
      <w:r w:rsidRPr="00A65613">
        <w:rPr>
          <w:rFonts w:ascii="Times New Roman" w:hAnsi="Times New Roman"/>
          <w:b/>
          <w:bCs/>
        </w:rPr>
        <w:t>avregistreras</w:t>
      </w:r>
      <w:r w:rsidRPr="00A65613">
        <w:rPr>
          <w:rFonts w:ascii="Times New Roman" w:hAnsi="Times New Roman"/>
        </w:rPr>
        <w:t xml:space="preserve"> när de inte längre innehas av myndigheten.</w:t>
      </w:r>
    </w:p>
    <w:p w:rsidR="00925149" w:rsidRPr="00A65613" w:rsidRDefault="00925149" w:rsidP="00925149">
      <w:pPr>
        <w:rPr>
          <w:rFonts w:ascii="Times New Roman" w:hAnsi="Times New Roman"/>
        </w:rPr>
      </w:pPr>
    </w:p>
    <w:p w:rsidR="00925149" w:rsidRPr="00A65613" w:rsidRDefault="00925149" w:rsidP="00925149">
      <w:pPr>
        <w:rPr>
          <w:rFonts w:ascii="Times New Roman" w:hAnsi="Times New Roman"/>
        </w:rPr>
      </w:pPr>
      <w:r w:rsidRPr="00A65613">
        <w:rPr>
          <w:rFonts w:ascii="Times New Roman" w:hAnsi="Times New Roman"/>
          <w:b/>
        </w:rPr>
        <w:t>Inventering</w:t>
      </w:r>
      <w:r w:rsidRPr="00A65613">
        <w:rPr>
          <w:rFonts w:ascii="Times New Roman" w:hAnsi="Times New Roman"/>
        </w:rPr>
        <w:t xml:space="preserve"> av anläggningar och inventarier skall göras regelbundet för att säkerställa att tillgångar i inventarieregistret finns kvar i verksamheten. Inventeringsrapport skall upprättas och undertecknas av en inventeringsförrättare. </w:t>
      </w:r>
    </w:p>
    <w:p w:rsidR="00925149" w:rsidRPr="00A65613" w:rsidRDefault="00925149" w:rsidP="00925149">
      <w:pPr>
        <w:pStyle w:val="Sidfo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25149" w:rsidRPr="00A65613" w:rsidRDefault="00925149" w:rsidP="00925149">
      <w:pPr>
        <w:rPr>
          <w:rFonts w:ascii="Times New Roman" w:hAnsi="Times New Roman"/>
        </w:rPr>
      </w:pPr>
      <w:r>
        <w:rPr>
          <w:rFonts w:ascii="Times New Roman" w:hAnsi="Times New Roman"/>
        </w:rPr>
        <w:t>Vid SLU ligger ansvaret</w:t>
      </w:r>
      <w:r w:rsidRPr="00A65613">
        <w:rPr>
          <w:rFonts w:ascii="Times New Roman" w:hAnsi="Times New Roman"/>
        </w:rPr>
        <w:t xml:space="preserve"> för att genomföra inventeringen på institution/motsvarande. Prefekten skall godkänna inventeringen och skriva </w:t>
      </w:r>
      <w:r w:rsidRPr="00A65613">
        <w:rPr>
          <w:rFonts w:ascii="Times New Roman" w:hAnsi="Times New Roman"/>
          <w:b/>
          <w:color w:val="FF0000"/>
        </w:rPr>
        <w:t>under inventarieförteckningen för hela institutionen, inte avdelningsvis</w:t>
      </w:r>
      <w:r w:rsidRPr="00A65613">
        <w:rPr>
          <w:rFonts w:ascii="Times New Roman" w:hAnsi="Times New Roman"/>
        </w:rPr>
        <w:t>, enligt nedan.</w:t>
      </w:r>
    </w:p>
    <w:p w:rsidR="00925149" w:rsidRPr="00A65613" w:rsidRDefault="00925149" w:rsidP="00925149">
      <w:pPr>
        <w:rPr>
          <w:rFonts w:ascii="Times New Roman" w:hAnsi="Times New Roman"/>
        </w:rPr>
      </w:pPr>
    </w:p>
    <w:p w:rsidR="00925149" w:rsidRPr="00A65613" w:rsidRDefault="00925149" w:rsidP="004719AC">
      <w:pPr>
        <w:outlineLvl w:val="0"/>
        <w:rPr>
          <w:rFonts w:ascii="Times New Roman" w:hAnsi="Times New Roman"/>
          <w:b/>
          <w:i/>
        </w:rPr>
      </w:pPr>
      <w:r w:rsidRPr="00A65613">
        <w:rPr>
          <w:rFonts w:ascii="Times New Roman" w:hAnsi="Times New Roman"/>
          <w:b/>
          <w:i/>
        </w:rPr>
        <w:t>Tidpunkt</w:t>
      </w:r>
    </w:p>
    <w:p w:rsidR="00925149" w:rsidRPr="00A65613" w:rsidRDefault="00925149" w:rsidP="00925149">
      <w:pPr>
        <w:rPr>
          <w:rFonts w:ascii="Times New Roman" w:hAnsi="Times New Roman"/>
          <w:b/>
          <w:i/>
        </w:rPr>
      </w:pPr>
      <w:r w:rsidRPr="00A65613">
        <w:rPr>
          <w:rFonts w:ascii="Times New Roman" w:hAnsi="Times New Roman"/>
        </w:rPr>
        <w:t xml:space="preserve">Inventering skall göras i år och vara undertecknad och inskickad till ekonomienheten </w:t>
      </w:r>
      <w:r w:rsidR="00E05C72">
        <w:rPr>
          <w:rFonts w:ascii="Times New Roman" w:hAnsi="Times New Roman"/>
          <w:b/>
          <w:i/>
        </w:rPr>
        <w:t>senast den 17</w:t>
      </w:r>
      <w:r w:rsidRPr="00A65613">
        <w:rPr>
          <w:rFonts w:ascii="Times New Roman" w:hAnsi="Times New Roman"/>
          <w:b/>
          <w:i/>
        </w:rPr>
        <w:t xml:space="preserve"> september</w:t>
      </w:r>
      <w:r w:rsidR="00E05C72">
        <w:rPr>
          <w:rFonts w:ascii="Times New Roman" w:hAnsi="Times New Roman"/>
          <w:b/>
          <w:i/>
        </w:rPr>
        <w:t xml:space="preserve"> 2010</w:t>
      </w:r>
      <w:r w:rsidRPr="00A65613">
        <w:rPr>
          <w:rFonts w:ascii="Times New Roman" w:hAnsi="Times New Roman"/>
          <w:b/>
          <w:i/>
        </w:rPr>
        <w:t>.</w:t>
      </w:r>
    </w:p>
    <w:p w:rsidR="00925149" w:rsidRPr="00A65613" w:rsidRDefault="00925149" w:rsidP="00925149">
      <w:pPr>
        <w:pStyle w:val="Sidfot"/>
        <w:tabs>
          <w:tab w:val="clear" w:pos="4536"/>
          <w:tab w:val="clear" w:pos="9072"/>
        </w:tabs>
        <w:rPr>
          <w:rFonts w:ascii="Times New Roman" w:hAnsi="Times New Roman"/>
          <w:iCs/>
        </w:rPr>
      </w:pPr>
    </w:p>
    <w:p w:rsidR="00925149" w:rsidRPr="00A65613" w:rsidRDefault="00925149" w:rsidP="004719AC">
      <w:pPr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Arbetsgång</w:t>
      </w:r>
    </w:p>
    <w:p w:rsidR="00925149" w:rsidRPr="00A65613" w:rsidRDefault="00925149" w:rsidP="00925149">
      <w:pPr>
        <w:rPr>
          <w:rFonts w:ascii="Times New Roman" w:hAnsi="Times New Roman"/>
        </w:rPr>
      </w:pPr>
      <w:r w:rsidRPr="00A65613">
        <w:rPr>
          <w:rFonts w:ascii="Times New Roman" w:hAnsi="Times New Roman"/>
        </w:rPr>
        <w:t>Under Egen meny i Agresso, finns ett antal in</w:t>
      </w:r>
      <w:r w:rsidR="00132E38">
        <w:rPr>
          <w:rFonts w:ascii="Times New Roman" w:hAnsi="Times New Roman"/>
        </w:rPr>
        <w:t xml:space="preserve">ventarierapporter under </w:t>
      </w:r>
      <w:r w:rsidR="00132E38" w:rsidRPr="00132E38">
        <w:rPr>
          <w:rFonts w:ascii="Times New Roman" w:hAnsi="Times New Roman"/>
          <w:i/>
        </w:rPr>
        <w:t>Rapporter</w:t>
      </w:r>
      <w:r w:rsidR="00132E38">
        <w:rPr>
          <w:rFonts w:ascii="Times New Roman" w:hAnsi="Times New Roman"/>
        </w:rPr>
        <w:t xml:space="preserve"> </w:t>
      </w:r>
      <w:r w:rsidR="00132E38" w:rsidRPr="00132E38">
        <w:rPr>
          <w:rFonts w:ascii="Times New Roman" w:hAnsi="Times New Roman"/>
        </w:rPr>
        <w:sym w:font="Wingdings" w:char="F0E0"/>
      </w:r>
      <w:r w:rsidR="00132E38">
        <w:rPr>
          <w:rFonts w:ascii="Times New Roman" w:hAnsi="Times New Roman"/>
        </w:rPr>
        <w:t xml:space="preserve"> </w:t>
      </w:r>
      <w:r w:rsidR="00132E38" w:rsidRPr="00132E38">
        <w:rPr>
          <w:rFonts w:ascii="Times New Roman" w:hAnsi="Times New Roman"/>
          <w:i/>
        </w:rPr>
        <w:t>Inventarier.</w:t>
      </w:r>
      <w:r w:rsidRPr="00A65613">
        <w:rPr>
          <w:rFonts w:ascii="Times New Roman" w:hAnsi="Times New Roman"/>
        </w:rPr>
        <w:t xml:space="preserve"> Rapporterna </w:t>
      </w:r>
      <w:r w:rsidR="00132E38" w:rsidRPr="00132E38">
        <w:rPr>
          <w:rFonts w:ascii="Times New Roman" w:hAnsi="Times New Roman"/>
          <w:i/>
        </w:rPr>
        <w:t>Avskrivningar per verksamhetsgren o proj</w:t>
      </w:r>
      <w:r w:rsidR="00132E38">
        <w:rPr>
          <w:rFonts w:ascii="Times New Roman" w:hAnsi="Times New Roman"/>
        </w:rPr>
        <w:t xml:space="preserve"> </w:t>
      </w:r>
      <w:r w:rsidRPr="00A65613">
        <w:rPr>
          <w:rFonts w:ascii="Times New Roman" w:hAnsi="Times New Roman"/>
        </w:rPr>
        <w:t xml:space="preserve">och </w:t>
      </w:r>
      <w:r w:rsidRPr="00A65613">
        <w:rPr>
          <w:rFonts w:ascii="Times New Roman" w:hAnsi="Times New Roman"/>
          <w:i/>
        </w:rPr>
        <w:t xml:space="preserve">Bokförda </w:t>
      </w:r>
      <w:r w:rsidRPr="00A65613">
        <w:rPr>
          <w:rFonts w:ascii="Times New Roman" w:hAnsi="Times New Roman"/>
          <w:i/>
        </w:rPr>
        <w:lastRenderedPageBreak/>
        <w:t>avskrivningar</w:t>
      </w:r>
      <w:r w:rsidRPr="00A65613">
        <w:rPr>
          <w:rFonts w:ascii="Times New Roman" w:hAnsi="Times New Roman"/>
        </w:rPr>
        <w:t xml:space="preserve"> innehåller ekonomisk information om gruppen anläggningstillgångar. Övriga rapporter innehåller information om alla registrerade anläggningar och inventarier.</w:t>
      </w:r>
    </w:p>
    <w:p w:rsidR="00925149" w:rsidRPr="00A65613" w:rsidRDefault="00925149" w:rsidP="00925149">
      <w:pPr>
        <w:rPr>
          <w:rFonts w:ascii="Times New Roman" w:hAnsi="Times New Roman"/>
        </w:rPr>
      </w:pPr>
    </w:p>
    <w:p w:rsidR="00BE3530" w:rsidRDefault="00925149" w:rsidP="00BE3530">
      <w:pPr>
        <w:numPr>
          <w:ilvl w:val="0"/>
          <w:numId w:val="4"/>
        </w:numPr>
        <w:ind w:left="720" w:right="-468"/>
        <w:rPr>
          <w:rFonts w:ascii="Times New Roman" w:hAnsi="Times New Roman"/>
        </w:rPr>
      </w:pPr>
      <w:r w:rsidRPr="00A65613">
        <w:rPr>
          <w:rFonts w:ascii="Times New Roman" w:hAnsi="Times New Roman"/>
        </w:rPr>
        <w:t xml:space="preserve">Beställ och skriv ut rapporten </w:t>
      </w:r>
      <w:r w:rsidRPr="00A65613">
        <w:rPr>
          <w:rFonts w:ascii="Times New Roman" w:hAnsi="Times New Roman"/>
          <w:b/>
        </w:rPr>
        <w:t>Inventeringsrapport</w:t>
      </w:r>
      <w:r w:rsidR="006E48A0">
        <w:rPr>
          <w:rFonts w:ascii="Times New Roman" w:hAnsi="Times New Roman"/>
          <w:b/>
        </w:rPr>
        <w:t xml:space="preserve"> </w:t>
      </w:r>
      <w:r w:rsidR="006E48A0">
        <w:rPr>
          <w:rFonts w:ascii="Times New Roman" w:hAnsi="Times New Roman"/>
        </w:rPr>
        <w:t xml:space="preserve">för hela institutionen (KST*) enligt följande. </w:t>
      </w:r>
    </w:p>
    <w:p w:rsidR="00BE3530" w:rsidRDefault="00E82EDA" w:rsidP="00BE3530">
      <w:pPr>
        <w:ind w:left="720" w:right="-468"/>
        <w:rPr>
          <w:rFonts w:ascii="Times New Roman" w:hAnsi="Times New Roman"/>
        </w:rPr>
      </w:pPr>
      <w:r>
        <w:rPr>
          <w:rFonts w:ascii="Times New Roman" w:hAnsi="Times New Roman"/>
        </w:rPr>
        <w:t>Fyll i ditt kostnadsställe på rad 11</w:t>
      </w:r>
      <w:r w:rsidR="00A06E1E">
        <w:rPr>
          <w:rFonts w:ascii="Times New Roman" w:hAnsi="Times New Roman"/>
        </w:rPr>
        <w:t xml:space="preserve">. </w:t>
      </w:r>
    </w:p>
    <w:p w:rsidR="008A1B74" w:rsidRDefault="00BE3530" w:rsidP="008A1B74">
      <w:pPr>
        <w:ind w:left="720" w:right="-468"/>
        <w:rPr>
          <w:rFonts w:ascii="Times New Roman" w:hAnsi="Times New Roman"/>
        </w:rPr>
      </w:pPr>
      <w:r w:rsidRPr="00BE3530">
        <w:rPr>
          <w:rFonts w:ascii="Times New Roman" w:hAnsi="Times New Roman"/>
        </w:rPr>
        <w:t>På r</w:t>
      </w:r>
      <w:r w:rsidR="001D48D9">
        <w:rPr>
          <w:rFonts w:ascii="Times New Roman" w:hAnsi="Times New Roman"/>
        </w:rPr>
        <w:t>ad 13 kan du välja att visa</w:t>
      </w:r>
      <w:r w:rsidRPr="00BE3530">
        <w:rPr>
          <w:rFonts w:ascii="Times New Roman" w:hAnsi="Times New Roman"/>
        </w:rPr>
        <w:t xml:space="preserve"> parkerade förbrukningsinventarier (J/N</w:t>
      </w:r>
      <w:r w:rsidR="00FC4662">
        <w:rPr>
          <w:rFonts w:ascii="Times New Roman" w:hAnsi="Times New Roman"/>
        </w:rPr>
        <w:t>, förval N</w:t>
      </w:r>
      <w:r w:rsidRPr="00BE353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BE3530" w:rsidRDefault="00BE3530" w:rsidP="00BE3530">
      <w:pPr>
        <w:ind w:left="720" w:right="-468"/>
        <w:rPr>
          <w:rFonts w:ascii="Times New Roman" w:hAnsi="Times New Roman"/>
        </w:rPr>
      </w:pPr>
      <w:r>
        <w:rPr>
          <w:rFonts w:ascii="Times New Roman" w:hAnsi="Times New Roman"/>
        </w:rPr>
        <w:t>På r</w:t>
      </w:r>
      <w:r w:rsidR="001D48D9">
        <w:rPr>
          <w:rFonts w:ascii="Times New Roman" w:hAnsi="Times New Roman"/>
        </w:rPr>
        <w:t>ad 14 kan du välja att visa</w:t>
      </w:r>
      <w:r>
        <w:rPr>
          <w:rFonts w:ascii="Times New Roman" w:hAnsi="Times New Roman"/>
        </w:rPr>
        <w:t xml:space="preserve"> spärrade förbrukningsinventarier (J/N</w:t>
      </w:r>
      <w:r w:rsidR="00FC4662">
        <w:rPr>
          <w:rFonts w:ascii="Times New Roman" w:hAnsi="Times New Roman"/>
        </w:rPr>
        <w:t>, förval N</w:t>
      </w:r>
      <w:r>
        <w:rPr>
          <w:rFonts w:ascii="Times New Roman" w:hAnsi="Times New Roman"/>
        </w:rPr>
        <w:t>).</w:t>
      </w:r>
    </w:p>
    <w:p w:rsidR="00BE3530" w:rsidRDefault="00BE3530" w:rsidP="00BE3530">
      <w:pPr>
        <w:ind w:left="720" w:right="-468"/>
        <w:rPr>
          <w:rFonts w:ascii="Times New Roman" w:hAnsi="Times New Roman"/>
        </w:rPr>
      </w:pPr>
    </w:p>
    <w:p w:rsidR="006E48A0" w:rsidRPr="00BE3530" w:rsidRDefault="00C34171" w:rsidP="00C34171">
      <w:pPr>
        <w:ind w:left="720" w:right="-4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82EDA" w:rsidRPr="00BE3530">
        <w:rPr>
          <w:rFonts w:ascii="Times New Roman" w:hAnsi="Times New Roman"/>
        </w:rPr>
        <w:t xml:space="preserve">ryck </w:t>
      </w:r>
      <w:r>
        <w:rPr>
          <w:rFonts w:ascii="Times New Roman" w:hAnsi="Times New Roman"/>
        </w:rPr>
        <w:t xml:space="preserve">därefter </w:t>
      </w:r>
      <w:r w:rsidR="00E82EDA" w:rsidRPr="00BE3530">
        <w:rPr>
          <w:rFonts w:ascii="Times New Roman" w:hAnsi="Times New Roman"/>
        </w:rPr>
        <w:t xml:space="preserve">på F12 eller diskettikonen i vänstra hörnet. När rapporten är färdig hittar du den under </w:t>
      </w:r>
      <w:r w:rsidR="00E82EDA" w:rsidRPr="00BE3530">
        <w:rPr>
          <w:rFonts w:ascii="Times New Roman" w:hAnsi="Times New Roman"/>
          <w:i/>
        </w:rPr>
        <w:t>Underhåll beställda rapporter.</w:t>
      </w:r>
    </w:p>
    <w:p w:rsidR="00E82EDA" w:rsidRDefault="00E82EDA" w:rsidP="006E48A0">
      <w:pPr>
        <w:ind w:left="360" w:right="-468" w:firstLine="360"/>
        <w:rPr>
          <w:rFonts w:ascii="Times New Roman" w:hAnsi="Times New Roman"/>
        </w:rPr>
      </w:pPr>
    </w:p>
    <w:p w:rsidR="00925149" w:rsidRPr="00A65613" w:rsidRDefault="006E48A0" w:rsidP="006E48A0">
      <w:pPr>
        <w:ind w:left="360" w:right="-468" w:firstLine="360"/>
        <w:rPr>
          <w:rFonts w:ascii="Times New Roman" w:hAnsi="Times New Roman"/>
        </w:rPr>
      </w:pPr>
      <w:r w:rsidRPr="006E48A0">
        <w:rPr>
          <w:rFonts w:ascii="Times New Roman" w:hAnsi="Times New Roman"/>
        </w:rPr>
        <w:t>Rapporten</w:t>
      </w:r>
      <w:r>
        <w:rPr>
          <w:rFonts w:ascii="Times New Roman" w:hAnsi="Times New Roman"/>
          <w:b/>
        </w:rPr>
        <w:t xml:space="preserve"> </w:t>
      </w:r>
      <w:r w:rsidR="00925149" w:rsidRPr="00A65613">
        <w:rPr>
          <w:rFonts w:ascii="Times New Roman" w:hAnsi="Times New Roman"/>
        </w:rPr>
        <w:t>innehåller alla registrerade inventarier i</w:t>
      </w:r>
      <w:r w:rsidR="00925149" w:rsidRPr="00A65613">
        <w:rPr>
          <w:rFonts w:ascii="Times New Roman" w:hAnsi="Times New Roman"/>
          <w:b/>
        </w:rPr>
        <w:t xml:space="preserve"> anläggningsnummerordning</w:t>
      </w:r>
      <w:r w:rsidR="00925149" w:rsidRPr="00A65613">
        <w:rPr>
          <w:rFonts w:ascii="Times New Roman" w:hAnsi="Times New Roman"/>
        </w:rPr>
        <w:t xml:space="preserve">. </w:t>
      </w:r>
    </w:p>
    <w:p w:rsidR="00925149" w:rsidRPr="00A65613" w:rsidRDefault="00925149" w:rsidP="006E48A0">
      <w:pPr>
        <w:ind w:right="-468" w:firstLine="720"/>
        <w:rPr>
          <w:rFonts w:ascii="Times New Roman" w:hAnsi="Times New Roman"/>
        </w:rPr>
      </w:pPr>
      <w:r w:rsidRPr="00A65613">
        <w:rPr>
          <w:rFonts w:ascii="Times New Roman" w:hAnsi="Times New Roman"/>
        </w:rPr>
        <w:t>Alla anläggningsg</w:t>
      </w:r>
      <w:r w:rsidR="008061D7">
        <w:rPr>
          <w:rFonts w:ascii="Times New Roman" w:hAnsi="Times New Roman"/>
        </w:rPr>
        <w:t>rupper och aktiva</w:t>
      </w:r>
      <w:r w:rsidRPr="00A65613">
        <w:rPr>
          <w:rFonts w:ascii="Times New Roman" w:hAnsi="Times New Roman"/>
        </w:rPr>
        <w:t xml:space="preserve"> anläggningsnummer är förvalda.</w:t>
      </w:r>
    </w:p>
    <w:p w:rsidR="00925149" w:rsidRDefault="00925149" w:rsidP="006E48A0">
      <w:pPr>
        <w:rPr>
          <w:rFonts w:ascii="Times New Roman" w:hAnsi="Times New Roman"/>
        </w:rPr>
      </w:pPr>
    </w:p>
    <w:p w:rsidR="00BE7937" w:rsidRDefault="00C355DD" w:rsidP="006E48A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72125" cy="4191000"/>
            <wp:effectExtent l="19050" t="0" r="9525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8A0" w:rsidRDefault="006E48A0" w:rsidP="00925149">
      <w:pPr>
        <w:ind w:left="360"/>
        <w:jc w:val="center"/>
        <w:rPr>
          <w:rFonts w:ascii="Times New Roman" w:hAnsi="Times New Roman"/>
        </w:rPr>
      </w:pPr>
    </w:p>
    <w:p w:rsidR="006E48A0" w:rsidRPr="00A65613" w:rsidRDefault="006E48A0" w:rsidP="00925149">
      <w:pPr>
        <w:ind w:left="360"/>
        <w:jc w:val="center"/>
        <w:rPr>
          <w:rFonts w:ascii="Times New Roman" w:hAnsi="Times New Roman"/>
        </w:rPr>
      </w:pPr>
    </w:p>
    <w:p w:rsidR="00925149" w:rsidRPr="00A65613" w:rsidRDefault="00C355DD" w:rsidP="006E48A0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572125" cy="4324350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49" w:rsidRPr="00A65613" w:rsidRDefault="00925149" w:rsidP="00925149">
      <w:pPr>
        <w:numPr>
          <w:ilvl w:val="12"/>
          <w:numId w:val="0"/>
        </w:numPr>
        <w:rPr>
          <w:rFonts w:ascii="Times New Roman" w:hAnsi="Times New Roman"/>
        </w:rPr>
      </w:pPr>
    </w:p>
    <w:p w:rsidR="00925149" w:rsidRPr="00A65613" w:rsidRDefault="00925149" w:rsidP="007C4B50">
      <w:pPr>
        <w:pStyle w:val="Brdtextmedindrag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A65613">
        <w:rPr>
          <w:rFonts w:ascii="Times New Roman" w:hAnsi="Times New Roman"/>
        </w:rPr>
        <w:t xml:space="preserve">Om man vill sortera inventarierna på annat sätt än i inventeringsrapporten finns det en rapport i Agresso som går att föra över till excel, </w:t>
      </w:r>
      <w:r w:rsidRPr="007C4B50">
        <w:rPr>
          <w:rFonts w:ascii="Times New Roman" w:hAnsi="Times New Roman"/>
          <w:i/>
        </w:rPr>
        <w:t>Inventarieförteckning till excel.</w:t>
      </w:r>
      <w:r w:rsidRPr="00A65613">
        <w:rPr>
          <w:rFonts w:ascii="Times New Roman" w:hAnsi="Times New Roman"/>
        </w:rPr>
        <w:t xml:space="preserve"> Rapporten finns unde</w:t>
      </w:r>
      <w:r w:rsidR="007C4B50">
        <w:rPr>
          <w:rFonts w:ascii="Times New Roman" w:hAnsi="Times New Roman"/>
        </w:rPr>
        <w:t xml:space="preserve">r. </w:t>
      </w:r>
      <w:r w:rsidRPr="00A65613">
        <w:rPr>
          <w:rFonts w:ascii="Times New Roman" w:hAnsi="Times New Roman"/>
          <w:i/>
        </w:rPr>
        <w:t>Egen meny/rapporter/inventarier/inventarieförteckning till excel</w:t>
      </w:r>
      <w:r w:rsidRPr="00A65613">
        <w:rPr>
          <w:rFonts w:ascii="Times New Roman" w:hAnsi="Times New Roman"/>
        </w:rPr>
        <w:t>.</w:t>
      </w:r>
    </w:p>
    <w:p w:rsidR="00B0484D" w:rsidRDefault="00925149" w:rsidP="00925149">
      <w:pPr>
        <w:pStyle w:val="Brdtextmedindrag"/>
        <w:ind w:left="360" w:hanging="349"/>
        <w:rPr>
          <w:rFonts w:ascii="Times New Roman" w:hAnsi="Times New Roman"/>
        </w:rPr>
      </w:pPr>
      <w:r w:rsidRPr="00A65613">
        <w:rPr>
          <w:rFonts w:ascii="Times New Roman" w:hAnsi="Times New Roman"/>
        </w:rPr>
        <w:tab/>
        <w:t xml:space="preserve">Fyll i beställningen. </w:t>
      </w:r>
      <w:r w:rsidR="00B0484D">
        <w:rPr>
          <w:rFonts w:ascii="Times New Roman" w:hAnsi="Times New Roman"/>
        </w:rPr>
        <w:t xml:space="preserve">Här finns tyvärr inte samma valmöjligheter vad gäller visning av förbrukningsinventarier utan här </w:t>
      </w:r>
      <w:r w:rsidR="00AD012A">
        <w:rPr>
          <w:rFonts w:ascii="Times New Roman" w:hAnsi="Times New Roman"/>
        </w:rPr>
        <w:t xml:space="preserve">kan man välja att visa en </w:t>
      </w:r>
      <w:r w:rsidR="00B0484D">
        <w:rPr>
          <w:rFonts w:ascii="Times New Roman" w:hAnsi="Times New Roman"/>
        </w:rPr>
        <w:t>status</w:t>
      </w:r>
      <w:r w:rsidR="00AD012A">
        <w:rPr>
          <w:rFonts w:ascii="Times New Roman" w:hAnsi="Times New Roman"/>
        </w:rPr>
        <w:t xml:space="preserve"> (</w:t>
      </w:r>
      <w:r w:rsidR="00B0484D">
        <w:rPr>
          <w:rFonts w:ascii="Times New Roman" w:hAnsi="Times New Roman"/>
        </w:rPr>
        <w:t>N</w:t>
      </w:r>
      <w:r w:rsidR="00AD012A">
        <w:rPr>
          <w:rFonts w:ascii="Times New Roman" w:hAnsi="Times New Roman"/>
        </w:rPr>
        <w:t>=</w:t>
      </w:r>
      <w:r w:rsidR="00B0484D">
        <w:rPr>
          <w:rFonts w:ascii="Times New Roman" w:hAnsi="Times New Roman"/>
        </w:rPr>
        <w:t>aktiva är förvalt</w:t>
      </w:r>
      <w:r w:rsidR="00AD012A">
        <w:rPr>
          <w:rFonts w:ascii="Times New Roman" w:hAnsi="Times New Roman"/>
        </w:rPr>
        <w:t>) eller alla, status=*</w:t>
      </w:r>
      <w:r w:rsidR="00B0484D">
        <w:rPr>
          <w:rFonts w:ascii="Times New Roman" w:hAnsi="Times New Roman"/>
        </w:rPr>
        <w:t xml:space="preserve">. </w:t>
      </w:r>
    </w:p>
    <w:p w:rsidR="00925149" w:rsidRPr="00A65613" w:rsidRDefault="00B0484D" w:rsidP="00B0484D">
      <w:pPr>
        <w:pStyle w:val="Brdtextmedindra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Gå</w:t>
      </w:r>
      <w:r w:rsidR="00925149" w:rsidRPr="00A65613">
        <w:rPr>
          <w:rFonts w:ascii="Times New Roman" w:hAnsi="Times New Roman"/>
        </w:rPr>
        <w:t xml:space="preserve"> till underhåll av beställda rapporter</w:t>
      </w:r>
      <w:r w:rsidR="0073765D">
        <w:rPr>
          <w:rFonts w:ascii="Times New Roman" w:hAnsi="Times New Roman"/>
        </w:rPr>
        <w:t xml:space="preserve"> och klicka upp</w:t>
      </w:r>
      <w:r w:rsidR="00925149" w:rsidRPr="00A65613">
        <w:rPr>
          <w:rFonts w:ascii="Times New Roman" w:hAnsi="Times New Roman"/>
        </w:rPr>
        <w:t xml:space="preserve"> rapporten</w:t>
      </w:r>
      <w:r w:rsidR="0073765D">
        <w:rPr>
          <w:rFonts w:ascii="Times New Roman" w:hAnsi="Times New Roman"/>
        </w:rPr>
        <w:t xml:space="preserve"> så att den</w:t>
      </w:r>
      <w:r w:rsidR="00925149" w:rsidRPr="00A65613">
        <w:rPr>
          <w:rFonts w:ascii="Times New Roman" w:hAnsi="Times New Roman"/>
        </w:rPr>
        <w:t xml:space="preserve"> visas på skärmen. Välj exportfunktionen (knappen med ett kuvert på). Välj format: excel i lämplig version. OBS ej extended. Välj destination: disk file.</w:t>
      </w:r>
      <w:r w:rsidR="006027A5">
        <w:rPr>
          <w:rFonts w:ascii="Times New Roman" w:hAnsi="Times New Roman"/>
        </w:rPr>
        <w:t xml:space="preserve"> Klicka OK och välj sedan var du vill spara filen</w:t>
      </w:r>
      <w:r w:rsidR="00925149" w:rsidRPr="00A65613">
        <w:rPr>
          <w:rFonts w:ascii="Times New Roman" w:hAnsi="Times New Roman"/>
        </w:rPr>
        <w:t xml:space="preserve">. Exporten startar och en inventarieförteckning i excelformat </w:t>
      </w:r>
      <w:r w:rsidR="006027A5">
        <w:rPr>
          <w:rFonts w:ascii="Times New Roman" w:hAnsi="Times New Roman"/>
        </w:rPr>
        <w:t>sparas</w:t>
      </w:r>
      <w:r w:rsidR="00925149" w:rsidRPr="00A65613">
        <w:rPr>
          <w:rFonts w:ascii="Times New Roman" w:hAnsi="Times New Roman"/>
        </w:rPr>
        <w:t>.</w:t>
      </w:r>
      <w:r w:rsidR="0029173C">
        <w:rPr>
          <w:rFonts w:ascii="Times New Roman" w:hAnsi="Times New Roman"/>
        </w:rPr>
        <w:t xml:space="preserve"> </w:t>
      </w:r>
      <w:r w:rsidR="00F53E3E">
        <w:rPr>
          <w:rFonts w:ascii="Times New Roman" w:hAnsi="Times New Roman"/>
        </w:rPr>
        <w:t xml:space="preserve">När du klickar upp rapporten kan du mötas av en dialogruta där det står ”filfel: data kan ha förlorats”. Vi vet inte varför den dyker upp men vi har inte märkt att data saknas i filerna. Hittar ni något som ser konstigt ut så hör av er till </w:t>
      </w:r>
      <w:hyperlink r:id="rId9" w:history="1">
        <w:r w:rsidR="005246E0" w:rsidRPr="00982931">
          <w:rPr>
            <w:rStyle w:val="Hyperlnk"/>
            <w:rFonts w:ascii="Times New Roman" w:hAnsi="Times New Roman"/>
          </w:rPr>
          <w:t>redovisning@slu.se</w:t>
        </w:r>
      </w:hyperlink>
      <w:r w:rsidR="00F53E3E">
        <w:rPr>
          <w:rFonts w:ascii="Times New Roman" w:hAnsi="Times New Roman"/>
        </w:rPr>
        <w:tab/>
        <w:t xml:space="preserve"> </w:t>
      </w:r>
    </w:p>
    <w:p w:rsidR="00925149" w:rsidRPr="00A65613" w:rsidRDefault="00925149" w:rsidP="00925149">
      <w:pPr>
        <w:pStyle w:val="Brdtextmedindrag"/>
        <w:ind w:left="360"/>
        <w:rPr>
          <w:rFonts w:ascii="Times New Roman" w:hAnsi="Times New Roman"/>
          <w:i/>
        </w:rPr>
      </w:pPr>
      <w:r w:rsidRPr="00A65613">
        <w:rPr>
          <w:rFonts w:ascii="Times New Roman" w:hAnsi="Times New Roman"/>
        </w:rPr>
        <w:t xml:space="preserve">Rapporten kan </w:t>
      </w:r>
      <w:r w:rsidR="005246E0">
        <w:rPr>
          <w:rFonts w:ascii="Times New Roman" w:hAnsi="Times New Roman"/>
        </w:rPr>
        <w:t>sedan bearbetas i excel</w:t>
      </w:r>
      <w:r w:rsidR="007C5CF5">
        <w:rPr>
          <w:rFonts w:ascii="Times New Roman" w:hAnsi="Times New Roman"/>
        </w:rPr>
        <w:t>.</w:t>
      </w:r>
    </w:p>
    <w:p w:rsidR="00925149" w:rsidRPr="00A65613" w:rsidRDefault="00925149" w:rsidP="00925149">
      <w:pPr>
        <w:pStyle w:val="Brdtextmedindrag"/>
        <w:ind w:left="709" w:hanging="349"/>
        <w:rPr>
          <w:rFonts w:ascii="Times New Roman" w:hAnsi="Times New Roman"/>
        </w:rPr>
      </w:pPr>
    </w:p>
    <w:p w:rsidR="00925149" w:rsidRPr="00A65613" w:rsidRDefault="00925149" w:rsidP="00925149">
      <w:pPr>
        <w:numPr>
          <w:ilvl w:val="0"/>
          <w:numId w:val="4"/>
        </w:numPr>
        <w:ind w:right="-288"/>
        <w:rPr>
          <w:rFonts w:ascii="Times New Roman" w:hAnsi="Times New Roman"/>
        </w:rPr>
      </w:pPr>
      <w:r w:rsidRPr="00A65613">
        <w:rPr>
          <w:rFonts w:ascii="Times New Roman" w:hAnsi="Times New Roman"/>
        </w:rPr>
        <w:t>Om informationen enligt ovan är tillräcklig, pricka av i listan att inventarierna finns. B</w:t>
      </w:r>
      <w:r w:rsidR="00E636F3">
        <w:rPr>
          <w:rFonts w:ascii="Times New Roman" w:hAnsi="Times New Roman"/>
        </w:rPr>
        <w:t>ehövs mer information se avsnittet om hjälprapporter längre ned</w:t>
      </w:r>
      <w:r w:rsidRPr="00A65613">
        <w:rPr>
          <w:rFonts w:ascii="Times New Roman" w:hAnsi="Times New Roman"/>
        </w:rPr>
        <w:t xml:space="preserve">. </w:t>
      </w:r>
      <w:r w:rsidRPr="00A65613">
        <w:rPr>
          <w:rFonts w:ascii="Times New Roman" w:hAnsi="Times New Roman"/>
          <w:b/>
          <w:color w:val="FF0000"/>
        </w:rPr>
        <w:t>Inventeringsrapporten</w:t>
      </w:r>
      <w:r w:rsidRPr="00A65613">
        <w:rPr>
          <w:rFonts w:ascii="Times New Roman" w:hAnsi="Times New Roman"/>
          <w:color w:val="FF0000"/>
        </w:rPr>
        <w:t xml:space="preserve"> </w:t>
      </w:r>
      <w:r w:rsidRPr="00A65613">
        <w:rPr>
          <w:rFonts w:ascii="Times New Roman" w:hAnsi="Times New Roman"/>
        </w:rPr>
        <w:t>som upprättas</w:t>
      </w:r>
      <w:r w:rsidRPr="00A65613">
        <w:rPr>
          <w:rFonts w:ascii="Times New Roman" w:hAnsi="Times New Roman"/>
          <w:color w:val="FF0000"/>
        </w:rPr>
        <w:t xml:space="preserve"> </w:t>
      </w:r>
      <w:r w:rsidRPr="00A65613">
        <w:rPr>
          <w:rFonts w:ascii="Times New Roman" w:hAnsi="Times New Roman"/>
          <w:b/>
          <w:color w:val="FF0000"/>
        </w:rPr>
        <w:t>för hela institutionen</w:t>
      </w:r>
      <w:r w:rsidRPr="00A65613">
        <w:rPr>
          <w:rFonts w:ascii="Times New Roman" w:hAnsi="Times New Roman"/>
          <w:color w:val="FF0000"/>
        </w:rPr>
        <w:t>, ej avdelningsvis,</w:t>
      </w:r>
      <w:r w:rsidRPr="00A65613">
        <w:rPr>
          <w:rFonts w:ascii="Times New Roman" w:hAnsi="Times New Roman"/>
        </w:rPr>
        <w:t xml:space="preserve"> skrivs därefter under av inventeringsförrättare och prefekt, och sänds till ekonomienheten.</w:t>
      </w:r>
    </w:p>
    <w:p w:rsidR="00925149" w:rsidRDefault="00925149" w:rsidP="00925149">
      <w:pPr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C355DD">
        <w:rPr>
          <w:rFonts w:ascii="Times New Roman" w:hAnsi="Times New Roman"/>
          <w:noProof/>
        </w:rPr>
        <w:drawing>
          <wp:inline distT="0" distB="0" distL="0" distR="0">
            <wp:extent cx="5181600" cy="205740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999" t="18602" b="3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49" w:rsidRDefault="00925149" w:rsidP="00925149">
      <w:pPr>
        <w:ind w:right="-288"/>
        <w:rPr>
          <w:rFonts w:ascii="Times New Roman" w:hAnsi="Times New Roman"/>
        </w:rPr>
      </w:pPr>
    </w:p>
    <w:p w:rsidR="00925149" w:rsidRPr="00A65613" w:rsidRDefault="00925149" w:rsidP="00925149">
      <w:pPr>
        <w:ind w:right="-288"/>
        <w:rPr>
          <w:rFonts w:ascii="Times New Roman" w:hAnsi="Times New Roman"/>
        </w:rPr>
      </w:pPr>
    </w:p>
    <w:p w:rsidR="00925149" w:rsidRPr="006D5FB1" w:rsidRDefault="00925149" w:rsidP="00925149">
      <w:pPr>
        <w:numPr>
          <w:ilvl w:val="0"/>
          <w:numId w:val="4"/>
        </w:numPr>
        <w:ind w:right="-108"/>
        <w:rPr>
          <w:rFonts w:ascii="Times New Roman" w:hAnsi="Times New Roman"/>
          <w:szCs w:val="24"/>
        </w:rPr>
      </w:pPr>
      <w:r w:rsidRPr="00BE2F70">
        <w:rPr>
          <w:szCs w:val="24"/>
        </w:rPr>
        <w:t xml:space="preserve">Finns inventarier i listan som skall avregistreras, meddelas snarast ekonomienheten skriftligt. </w:t>
      </w:r>
      <w:r>
        <w:rPr>
          <w:szCs w:val="24"/>
        </w:rPr>
        <w:t>Inventeringsr</w:t>
      </w:r>
      <w:r w:rsidRPr="00BE2F70">
        <w:rPr>
          <w:szCs w:val="24"/>
        </w:rPr>
        <w:t xml:space="preserve">apporten kan användas som underlag. Även andra förändringar/kompletteringar av </w:t>
      </w:r>
      <w:r w:rsidRPr="00BE2F70">
        <w:rPr>
          <w:i/>
          <w:szCs w:val="24"/>
        </w:rPr>
        <w:t>fasta uppgifter</w:t>
      </w:r>
      <w:r w:rsidRPr="00BE2F70">
        <w:rPr>
          <w:szCs w:val="24"/>
        </w:rPr>
        <w:t xml:space="preserve"> som benämning, avskrivningskontering mm meddelas lämpligen samtidigt (</w:t>
      </w:r>
      <w:r w:rsidRPr="00BE2F70">
        <w:rPr>
          <w:i/>
          <w:szCs w:val="24"/>
        </w:rPr>
        <w:t>dock ej konteri</w:t>
      </w:r>
      <w:r w:rsidR="00E46FA3">
        <w:rPr>
          <w:i/>
          <w:szCs w:val="24"/>
        </w:rPr>
        <w:t>ng för förbrukningsinventarier (</w:t>
      </w:r>
      <w:r w:rsidRPr="00BE2F70">
        <w:rPr>
          <w:i/>
          <w:szCs w:val="24"/>
        </w:rPr>
        <w:t>64-</w:t>
      </w:r>
      <w:r w:rsidR="00E46FA3" w:rsidRPr="00BE2F70">
        <w:rPr>
          <w:i/>
          <w:szCs w:val="24"/>
        </w:rPr>
        <w:t>konton</w:t>
      </w:r>
      <w:r w:rsidR="00E46FA3">
        <w:rPr>
          <w:i/>
          <w:szCs w:val="24"/>
        </w:rPr>
        <w:t xml:space="preserve">) </w:t>
      </w:r>
      <w:r w:rsidR="00E46FA3" w:rsidRPr="00BE2F70">
        <w:rPr>
          <w:i/>
          <w:szCs w:val="24"/>
        </w:rPr>
        <w:t>och</w:t>
      </w:r>
      <w:r w:rsidRPr="00BE2F70">
        <w:rPr>
          <w:i/>
          <w:szCs w:val="24"/>
        </w:rPr>
        <w:t xml:space="preserve"> inventarier som är bokförda på konto 1280)</w:t>
      </w:r>
      <w:r w:rsidRPr="00BE2F70">
        <w:rPr>
          <w:szCs w:val="24"/>
        </w:rPr>
        <w:t xml:space="preserve">. Ekonomienheten avregistrerar inventarierna och omför från balanskonton om </w:t>
      </w:r>
      <w:r>
        <w:rPr>
          <w:szCs w:val="24"/>
        </w:rPr>
        <w:t>anläggningen är tillgångsbokförd</w:t>
      </w:r>
      <w:r w:rsidRPr="00BE2F70">
        <w:rPr>
          <w:szCs w:val="24"/>
        </w:rPr>
        <w:t>.</w:t>
      </w:r>
    </w:p>
    <w:p w:rsidR="00925149" w:rsidRPr="006D5FB1" w:rsidRDefault="00925149" w:rsidP="00925149">
      <w:pPr>
        <w:ind w:right="-108"/>
        <w:rPr>
          <w:rFonts w:ascii="Times New Roman" w:hAnsi="Times New Roman"/>
          <w:szCs w:val="24"/>
        </w:rPr>
      </w:pPr>
    </w:p>
    <w:p w:rsidR="00925149" w:rsidRPr="00BE2F70" w:rsidRDefault="00925149" w:rsidP="00925149">
      <w:pPr>
        <w:ind w:left="283" w:right="-108"/>
        <w:rPr>
          <w:rFonts w:ascii="Times New Roman" w:hAnsi="Times New Roman"/>
          <w:szCs w:val="24"/>
        </w:rPr>
      </w:pPr>
      <w:r w:rsidRPr="00BE2F70">
        <w:rPr>
          <w:rFonts w:ascii="Times New Roman" w:hAnsi="Times New Roman"/>
          <w:b/>
          <w:szCs w:val="24"/>
        </w:rPr>
        <w:t xml:space="preserve">Varje </w:t>
      </w:r>
      <w:r>
        <w:rPr>
          <w:rFonts w:ascii="Times New Roman" w:hAnsi="Times New Roman"/>
          <w:b/>
          <w:szCs w:val="24"/>
        </w:rPr>
        <w:t xml:space="preserve">avregistrering </w:t>
      </w:r>
      <w:r w:rsidRPr="00BE2F70">
        <w:rPr>
          <w:rFonts w:ascii="Times New Roman" w:hAnsi="Times New Roman"/>
          <w:b/>
          <w:szCs w:val="24"/>
        </w:rPr>
        <w:t xml:space="preserve">till följd av antingen </w:t>
      </w:r>
      <w:r>
        <w:rPr>
          <w:rFonts w:ascii="Times New Roman" w:hAnsi="Times New Roman"/>
          <w:b/>
          <w:szCs w:val="24"/>
        </w:rPr>
        <w:t>försäljning eller utrangering</w:t>
      </w:r>
      <w:r w:rsidRPr="00BE2F70">
        <w:rPr>
          <w:rFonts w:ascii="Times New Roman" w:hAnsi="Times New Roman"/>
          <w:b/>
          <w:szCs w:val="24"/>
        </w:rPr>
        <w:t xml:space="preserve"> skall</w:t>
      </w:r>
      <w:r w:rsidRPr="00BE2F70">
        <w:rPr>
          <w:rFonts w:ascii="Times New Roman" w:hAnsi="Times New Roman"/>
          <w:szCs w:val="24"/>
        </w:rPr>
        <w:t xml:space="preserve"> </w:t>
      </w:r>
      <w:r w:rsidRPr="00BE2F70">
        <w:rPr>
          <w:rFonts w:ascii="Times New Roman" w:hAnsi="Times New Roman"/>
          <w:b/>
          <w:szCs w:val="24"/>
        </w:rPr>
        <w:t>beslutas av prefekt och beslutet dokumenteras på institutione</w:t>
      </w:r>
      <w:r w:rsidRPr="002C6C1D">
        <w:rPr>
          <w:rFonts w:ascii="Times New Roman" w:hAnsi="Times New Roman"/>
          <w:b/>
          <w:szCs w:val="24"/>
        </w:rPr>
        <w:t>n (se ekonomihandboken avsnitt 9.5 och 9.5.3)</w:t>
      </w:r>
      <w:r>
        <w:rPr>
          <w:rFonts w:ascii="Times New Roman" w:hAnsi="Times New Roman"/>
          <w:szCs w:val="24"/>
        </w:rPr>
        <w:t xml:space="preserve"> </w:t>
      </w:r>
      <w:r w:rsidRPr="00BE2F70">
        <w:rPr>
          <w:rFonts w:ascii="Times New Roman" w:hAnsi="Times New Roman"/>
          <w:szCs w:val="24"/>
        </w:rPr>
        <w:t xml:space="preserve"> </w:t>
      </w:r>
    </w:p>
    <w:p w:rsidR="00925149" w:rsidRDefault="00925149" w:rsidP="00925149">
      <w:pPr>
        <w:pStyle w:val="Brdtextmedindrag2"/>
        <w:spacing w:line="240" w:lineRule="auto"/>
        <w:rPr>
          <w:szCs w:val="24"/>
        </w:rPr>
      </w:pPr>
    </w:p>
    <w:p w:rsidR="00925149" w:rsidRDefault="00925149" w:rsidP="00925149">
      <w:pPr>
        <w:numPr>
          <w:ilvl w:val="12"/>
          <w:numId w:val="0"/>
        </w:numPr>
        <w:ind w:left="283" w:right="-108"/>
        <w:rPr>
          <w:rFonts w:ascii="Times New Roman" w:hAnsi="Times New Roman"/>
        </w:rPr>
      </w:pPr>
    </w:p>
    <w:p w:rsidR="006E5CD9" w:rsidRDefault="006E5CD9" w:rsidP="004719AC">
      <w:pPr>
        <w:ind w:right="-108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Hjälprapporter</w:t>
      </w:r>
    </w:p>
    <w:p w:rsidR="00FC4662" w:rsidRPr="00FC4662" w:rsidRDefault="00DB1989" w:rsidP="004719AC">
      <w:pPr>
        <w:ind w:right="-1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Rapporten </w:t>
      </w:r>
      <w:r w:rsidRPr="00DB1989">
        <w:rPr>
          <w:rFonts w:ascii="Times New Roman" w:hAnsi="Times New Roman"/>
          <w:i/>
        </w:rPr>
        <w:t>I</w:t>
      </w:r>
      <w:r w:rsidR="00FC4662" w:rsidRPr="00DB1989">
        <w:rPr>
          <w:rFonts w:ascii="Times New Roman" w:hAnsi="Times New Roman"/>
          <w:i/>
        </w:rPr>
        <w:t>nventarieöversikt</w:t>
      </w:r>
      <w:r w:rsidR="00FC4662">
        <w:rPr>
          <w:rFonts w:ascii="Times New Roman" w:hAnsi="Times New Roman"/>
        </w:rPr>
        <w:t xml:space="preserve"> kan användas om du vill ha möjlighet att </w:t>
      </w:r>
      <w:r w:rsidR="004878D0">
        <w:t>själv ange anläggningsgrupp, status och anskaffningsdatum.</w:t>
      </w:r>
    </w:p>
    <w:p w:rsidR="00844C73" w:rsidRDefault="00844C73" w:rsidP="006E5CD9">
      <w:pPr>
        <w:ind w:right="-108"/>
        <w:rPr>
          <w:rFonts w:ascii="Times New Roman" w:hAnsi="Times New Roman"/>
        </w:rPr>
      </w:pPr>
    </w:p>
    <w:p w:rsidR="00925149" w:rsidRDefault="00925149" w:rsidP="006E5CD9">
      <w:pPr>
        <w:ind w:right="-108"/>
        <w:rPr>
          <w:rFonts w:ascii="Times New Roman" w:hAnsi="Times New Roman"/>
          <w:i/>
          <w:szCs w:val="24"/>
        </w:rPr>
      </w:pPr>
      <w:r w:rsidRPr="00A65613">
        <w:rPr>
          <w:rFonts w:ascii="Times New Roman" w:hAnsi="Times New Roman"/>
        </w:rPr>
        <w:t xml:space="preserve">Rapporten </w:t>
      </w:r>
      <w:r w:rsidRPr="00D42FA8">
        <w:rPr>
          <w:rFonts w:ascii="Times New Roman" w:hAnsi="Times New Roman"/>
          <w:i/>
        </w:rPr>
        <w:t>Inventarieförteckning</w:t>
      </w:r>
      <w:r w:rsidRPr="00A65613">
        <w:rPr>
          <w:rFonts w:ascii="Times New Roman" w:hAnsi="Times New Roman"/>
        </w:rPr>
        <w:t xml:space="preserve"> innehåller all information som hämtats ur ADE-INV</w:t>
      </w:r>
      <w:r w:rsidR="000A3A24">
        <w:rPr>
          <w:rFonts w:ascii="Times New Roman" w:hAnsi="Times New Roman"/>
        </w:rPr>
        <w:t xml:space="preserve"> (ett tidigare anläggningsregister)</w:t>
      </w:r>
      <w:r w:rsidRPr="00A65613">
        <w:rPr>
          <w:rFonts w:ascii="Times New Roman" w:hAnsi="Times New Roman"/>
        </w:rPr>
        <w:t xml:space="preserve"> eller registrerats under </w:t>
      </w:r>
      <w:r w:rsidRPr="00A65613">
        <w:rPr>
          <w:rFonts w:ascii="Times New Roman" w:hAnsi="Times New Roman"/>
          <w:i/>
        </w:rPr>
        <w:t>relationer eller fri text</w:t>
      </w:r>
      <w:r w:rsidR="00FF08C1">
        <w:rPr>
          <w:rFonts w:ascii="Times New Roman" w:hAnsi="Times New Roman"/>
        </w:rPr>
        <w:t xml:space="preserve"> för nya inventarier. </w:t>
      </w:r>
      <w:r w:rsidRPr="00A65613">
        <w:rPr>
          <w:rFonts w:ascii="Times New Roman" w:hAnsi="Times New Roman"/>
        </w:rPr>
        <w:t>Rapporten kan användas som underlag för</w:t>
      </w:r>
      <w:r w:rsidR="00CF3728">
        <w:rPr>
          <w:rFonts w:ascii="Times New Roman" w:hAnsi="Times New Roman"/>
        </w:rPr>
        <w:t xml:space="preserve"> att identifiera inventarierna. D</w:t>
      </w:r>
      <w:r w:rsidR="00CF3728" w:rsidRPr="00A65613">
        <w:rPr>
          <w:rFonts w:ascii="Times New Roman" w:hAnsi="Times New Roman"/>
        </w:rPr>
        <w:t xml:space="preserve">et kan ta lång tid att ta ut </w:t>
      </w:r>
      <w:r w:rsidR="00FF08C1">
        <w:rPr>
          <w:rFonts w:ascii="Times New Roman" w:hAnsi="Times New Roman"/>
        </w:rPr>
        <w:t>rapporten vid många inventarier</w:t>
      </w:r>
      <w:r w:rsidR="00CF3728" w:rsidRPr="00A65613">
        <w:rPr>
          <w:rFonts w:ascii="Times New Roman" w:hAnsi="Times New Roman"/>
        </w:rPr>
        <w:t xml:space="preserve">. </w:t>
      </w:r>
      <w:r w:rsidRPr="00A65613">
        <w:rPr>
          <w:rFonts w:ascii="Times New Roman" w:hAnsi="Times New Roman"/>
        </w:rPr>
        <w:t>Eftersom registrering av i</w:t>
      </w:r>
      <w:r w:rsidR="00FC1BB7">
        <w:rPr>
          <w:rFonts w:ascii="Times New Roman" w:hAnsi="Times New Roman"/>
        </w:rPr>
        <w:t xml:space="preserve">nformation om inventarier </w:t>
      </w:r>
      <w:r w:rsidRPr="00A65613">
        <w:rPr>
          <w:rFonts w:ascii="Times New Roman" w:hAnsi="Times New Roman"/>
        </w:rPr>
        <w:t xml:space="preserve">är frivillig saknas i många fall denna information om nyinköpta inventarier. För att underlätta kommande inventeringar kan det vara lämpligt att komplettera informationen med serienummer, placering o dyl i samband med inventeringen. Anvisningar för </w:t>
      </w:r>
      <w:r w:rsidRPr="00A65613">
        <w:rPr>
          <w:rFonts w:ascii="Times New Roman" w:hAnsi="Times New Roman"/>
          <w:b/>
          <w:i/>
        </w:rPr>
        <w:t>registrering av relationer och fri text för inventarier</w:t>
      </w:r>
      <w:r w:rsidRPr="00A65613">
        <w:rPr>
          <w:rFonts w:ascii="Times New Roman" w:hAnsi="Times New Roman"/>
        </w:rPr>
        <w:t xml:space="preserve"> finns i Agressomanualen kap 11 (se ekonomienhetens hemsida) och </w:t>
      </w:r>
      <w:r w:rsidRPr="00A65613">
        <w:rPr>
          <w:rFonts w:ascii="Times New Roman" w:hAnsi="Times New Roman"/>
          <w:b/>
          <w:i/>
        </w:rPr>
        <w:t xml:space="preserve">görs av institution/enhet. </w:t>
      </w:r>
      <w:r w:rsidR="000A3A24">
        <w:rPr>
          <w:rFonts w:ascii="Times New Roman" w:hAnsi="Times New Roman"/>
        </w:rPr>
        <w:t xml:space="preserve">På ekonomienhetens hemsida under E-guider finns också guiden </w:t>
      </w:r>
      <w:r w:rsidR="000A3A24" w:rsidRPr="000A3A24">
        <w:rPr>
          <w:rFonts w:ascii="Times New Roman" w:hAnsi="Times New Roman"/>
          <w:i/>
          <w:szCs w:val="24"/>
        </w:rPr>
        <w:t>Hur man registrerar relationer till en anläggning</w:t>
      </w:r>
      <w:r w:rsidR="000A3A24">
        <w:rPr>
          <w:rFonts w:ascii="Times New Roman" w:hAnsi="Times New Roman"/>
          <w:i/>
          <w:szCs w:val="24"/>
        </w:rPr>
        <w:t>.</w:t>
      </w:r>
    </w:p>
    <w:p w:rsidR="001429C2" w:rsidRPr="000A3A24" w:rsidRDefault="001429C2" w:rsidP="006E5CD9">
      <w:pPr>
        <w:ind w:right="-108"/>
        <w:rPr>
          <w:rFonts w:ascii="Times New Roman" w:hAnsi="Times New Roman"/>
          <w:i/>
          <w:szCs w:val="24"/>
        </w:rPr>
      </w:pPr>
    </w:p>
    <w:p w:rsidR="00925149" w:rsidRDefault="00925149" w:rsidP="00925149">
      <w:pPr>
        <w:ind w:right="-108"/>
        <w:rPr>
          <w:rFonts w:ascii="Times New Roman" w:hAnsi="Times New Roman"/>
          <w:b/>
          <w:i/>
        </w:rPr>
      </w:pPr>
    </w:p>
    <w:p w:rsidR="00925149" w:rsidRPr="00A65613" w:rsidRDefault="00925149" w:rsidP="00925149">
      <w:pPr>
        <w:ind w:right="-108"/>
        <w:rPr>
          <w:rFonts w:ascii="Times New Roman" w:hAnsi="Times New Roman"/>
          <w:b/>
          <w:i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F2359F" w:rsidRDefault="00F2359F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25149" w:rsidRPr="00A65613" w:rsidRDefault="009C36A5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0" style="position:absolute;margin-left:418.7pt;margin-top:19.1pt;width:57.6pt;height:79.2pt;z-index:251656192" o:allowincell="f">
            <v:textbox style="mso-next-textbox:#_x0000_s1030" inset="0,0,0,0">
              <w:txbxContent>
                <w:p w:rsidR="00925149" w:rsidRDefault="00925149" w:rsidP="0092514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Avskrivnings-</w:t>
                  </w:r>
                </w:p>
                <w:p w:rsidR="00925149" w:rsidRDefault="00925149" w:rsidP="0092514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kontering för</w:t>
                  </w:r>
                </w:p>
                <w:p w:rsidR="00925149" w:rsidRDefault="00925149" w:rsidP="0092514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investeringar </w:t>
                  </w:r>
                </w:p>
                <w:p w:rsidR="00925149" w:rsidRDefault="00925149" w:rsidP="0092514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(kto 12*)</w:t>
                  </w:r>
                </w:p>
                <w:p w:rsidR="00925149" w:rsidRDefault="00925149" w:rsidP="0092514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kan ändras av </w:t>
                  </w:r>
                </w:p>
                <w:p w:rsidR="00925149" w:rsidRDefault="002158E4" w:rsidP="0092514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ek-enh</w:t>
                  </w:r>
                  <w:r w:rsidR="001429C2">
                    <w:rPr>
                      <w:sz w:val="16"/>
                    </w:rPr>
                    <w:t xml:space="preserve"> efter uppgift från inst/motsv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line id="_x0000_s1031" style="position:absolute;flip:x;z-index:251657216" from="346.7pt,97.95pt" to="418.7pt,97.95pt" o:allowincell="f"/>
        </w:pict>
      </w:r>
      <w:r>
        <w:rPr>
          <w:rFonts w:ascii="Times New Roman" w:hAnsi="Times New Roman"/>
          <w:noProof/>
        </w:rPr>
        <w:pict>
          <v:line id="_x0000_s1033" style="position:absolute;flip:x;z-index:251659264" from="346.7pt,184.35pt" to="418.7pt,184.35pt" o:allowincell="f"/>
        </w:pict>
      </w:r>
    </w:p>
    <w:p w:rsidR="00925149" w:rsidRPr="00A65613" w:rsidRDefault="009C36A5" w:rsidP="00925149">
      <w:pPr>
        <w:ind w:left="360" w:right="-1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2" style="position:absolute;left:0;text-align:left;margin-left:418.7pt;margin-top:113.9pt;width:1in;height:108pt;z-index:251658240" o:allowincell="f">
            <v:textbox style="mso-next-textbox:#_x0000_s1032" inset="0,0,0,0">
              <w:txbxContent>
                <w:p w:rsidR="00925149" w:rsidRDefault="00925149" w:rsidP="0092514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Konterings-</w:t>
                  </w:r>
                </w:p>
                <w:p w:rsidR="00925149" w:rsidRDefault="00925149" w:rsidP="0092514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uppgiften finns endast på gamla förbr.inv, (konto 64*) och</w:t>
                  </w:r>
                  <w:r>
                    <w:rPr>
                      <w:b/>
                      <w:sz w:val="16"/>
                    </w:rPr>
                    <w:t xml:space="preserve"> kan inte tas bort</w:t>
                  </w:r>
                  <w:r>
                    <w:rPr>
                      <w:sz w:val="16"/>
                    </w:rPr>
                    <w:t xml:space="preserve">. </w:t>
                  </w:r>
                </w:p>
                <w:p w:rsidR="00925149" w:rsidRDefault="00925149" w:rsidP="00925149">
                  <w:r>
                    <w:rPr>
                      <w:sz w:val="16"/>
                    </w:rPr>
                    <w:t>På nyinlagda förbr inv finns inte dessa uppgifter</w:t>
                  </w:r>
                </w:p>
              </w:txbxContent>
            </v:textbox>
          </v:rect>
        </w:pict>
      </w:r>
      <w:r w:rsidR="00C355DD">
        <w:rPr>
          <w:rFonts w:ascii="Times New Roman" w:hAnsi="Times New Roman"/>
          <w:noProof/>
        </w:rPr>
        <w:drawing>
          <wp:inline distT="0" distB="0" distL="0" distR="0">
            <wp:extent cx="4876800" cy="269557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49" w:rsidRDefault="00925149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25149" w:rsidRDefault="00925149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25149" w:rsidRDefault="00925149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25149" w:rsidRDefault="00925149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25149" w:rsidRDefault="00925149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25149" w:rsidRDefault="00925149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925149" w:rsidRDefault="00925149" w:rsidP="00925149">
      <w:pPr>
        <w:numPr>
          <w:ilvl w:val="12"/>
          <w:numId w:val="0"/>
        </w:numPr>
        <w:ind w:right="-108"/>
        <w:rPr>
          <w:rFonts w:ascii="Times New Roman" w:hAnsi="Times New Roman"/>
        </w:rPr>
      </w:pPr>
    </w:p>
    <w:p w:rsidR="00A65613" w:rsidRPr="00A65613" w:rsidRDefault="00A65613" w:rsidP="00A65613">
      <w:pPr>
        <w:rPr>
          <w:rFonts w:ascii="Times New Roman" w:hAnsi="Times New Roman"/>
        </w:rPr>
      </w:pPr>
    </w:p>
    <w:sectPr w:rsidR="00A65613" w:rsidRPr="00A65613" w:rsidSect="004A7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1418" w:bottom="567" w:left="1701" w:header="851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8D" w:rsidRDefault="003C668D">
      <w:r>
        <w:separator/>
      </w:r>
    </w:p>
  </w:endnote>
  <w:endnote w:type="continuationSeparator" w:id="0">
    <w:p w:rsidR="003C668D" w:rsidRDefault="003C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one Sans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CA" w:rsidRDefault="009C36A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55C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D55CA" w:rsidRDefault="005D55CA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CA" w:rsidRDefault="009C36A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55CA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0AF1">
      <w:rPr>
        <w:rStyle w:val="Sidnummer"/>
        <w:noProof/>
      </w:rPr>
      <w:t>5</w:t>
    </w:r>
    <w:r>
      <w:rPr>
        <w:rStyle w:val="Sidnummer"/>
      </w:rPr>
      <w:fldChar w:fldCharType="end"/>
    </w:r>
  </w:p>
  <w:p w:rsidR="005D55CA" w:rsidRDefault="005D55CA">
    <w:pPr>
      <w:pStyle w:val="Sidfo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CA" w:rsidRDefault="005D55CA">
    <w:pPr>
      <w:pStyle w:val="Brdtext"/>
      <w:tabs>
        <w:tab w:val="left" w:pos="520"/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8"/>
      </w:rPr>
    </w:pP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</w:p>
  <w:p w:rsidR="005D55CA" w:rsidRDefault="005D55CA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  <w:r>
      <w:rPr>
        <w:rFonts w:ascii="Helvetica" w:hAnsi="Helvetica"/>
        <w:sz w:val="16"/>
      </w:rPr>
      <w:tab/>
    </w:r>
  </w:p>
  <w:p w:rsidR="005D55CA" w:rsidRDefault="005D55CA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8D" w:rsidRDefault="003C668D">
      <w:r>
        <w:separator/>
      </w:r>
    </w:p>
  </w:footnote>
  <w:footnote w:type="continuationSeparator" w:id="0">
    <w:p w:rsidR="003C668D" w:rsidRDefault="003C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F1" w:rsidRDefault="00240AF1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F1" w:rsidRDefault="00240AF1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CA" w:rsidRDefault="00C355DD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-271145</wp:posOffset>
          </wp:positionV>
          <wp:extent cx="1014095" cy="1184910"/>
          <wp:effectExtent l="19050" t="0" r="0" b="0"/>
          <wp:wrapSquare wrapText="bothSides"/>
          <wp:docPr id="1" name="Bild 1" descr="slu_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_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55CA">
      <w:rPr>
        <w:rFonts w:ascii="Helvetica" w:hAnsi="Helvetica"/>
        <w:b/>
        <w:sz w:val="20"/>
      </w:rPr>
      <w:tab/>
      <w:t>Sveriges Lantbruksuniversitet</w:t>
    </w:r>
  </w:p>
  <w:p w:rsidR="005D55CA" w:rsidRDefault="005D55CA" w:rsidP="005D55CA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sz w:val="16"/>
      </w:rPr>
    </w:pP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16"/>
      </w:rPr>
      <w:t>Ekonomienheten</w:t>
    </w:r>
    <w:r>
      <w:rPr>
        <w:rFonts w:ascii="Helvetica" w:hAnsi="Helvetica"/>
        <w:sz w:val="16"/>
      </w:rPr>
      <w:tab/>
    </w:r>
    <w:r w:rsidR="00240AF1">
      <w:rPr>
        <w:rFonts w:ascii="Helvetica" w:hAnsi="Helvetica"/>
        <w:sz w:val="16"/>
      </w:rPr>
      <w:t>2010-07-01</w:t>
    </w:r>
  </w:p>
  <w:p w:rsidR="005D55CA" w:rsidRDefault="005D55CA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16"/>
      </w:rPr>
      <w:tab/>
    </w:r>
  </w:p>
  <w:p w:rsidR="005D55CA" w:rsidRDefault="005D55CA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</w:p>
  <w:p w:rsidR="00240AF1" w:rsidRDefault="005D55CA">
    <w:pPr>
      <w:pStyle w:val="Sidhuvud"/>
      <w:tabs>
        <w:tab w:val="clear" w:pos="4536"/>
        <w:tab w:val="left" w:pos="993"/>
        <w:tab w:val="left" w:pos="1418"/>
        <w:tab w:val="left" w:pos="5940"/>
        <w:tab w:val="left" w:pos="6480"/>
      </w:tabs>
      <w:rPr>
        <w:rFonts w:ascii="Helvetica" w:hAnsi="Helvetica"/>
        <w:b/>
        <w:bCs/>
        <w:sz w:val="16"/>
      </w:rPr>
    </w:pPr>
    <w:r>
      <w:rPr>
        <w:rFonts w:ascii="Helvetica" w:hAnsi="Helvetica"/>
        <w:sz w:val="20"/>
      </w:rPr>
      <w:tab/>
    </w:r>
    <w:r w:rsidR="00240AF1">
      <w:rPr>
        <w:rFonts w:ascii="Helvetica" w:hAnsi="Helvetica"/>
        <w:b/>
        <w:bCs/>
        <w:sz w:val="16"/>
      </w:rPr>
      <w:t>Ekonomimeddelande 2010:08</w:t>
    </w:r>
  </w:p>
  <w:p w:rsidR="005D55CA" w:rsidRDefault="005D55CA">
    <w:pPr>
      <w:pStyle w:val="Sidhuvud"/>
      <w:tabs>
        <w:tab w:val="clear" w:pos="4536"/>
        <w:tab w:val="left" w:pos="993"/>
        <w:tab w:val="left" w:pos="1418"/>
        <w:tab w:val="left" w:pos="5940"/>
        <w:tab w:val="left" w:pos="6480"/>
      </w:tabs>
      <w:rPr>
        <w:rFonts w:ascii="Helvetica" w:hAnsi="Helvetica"/>
        <w:sz w:val="16"/>
      </w:rPr>
    </w:pPr>
    <w:r>
      <w:rPr>
        <w:rFonts w:ascii="Helvetica" w:hAnsi="Helvetica"/>
        <w:b/>
        <w:bCs/>
        <w:sz w:val="16"/>
      </w:rPr>
      <w:tab/>
    </w:r>
    <w:r>
      <w:rPr>
        <w:sz w:val="16"/>
      </w:rPr>
      <w:t>Till samtliga institutioner och enheter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200"/>
    <w:multiLevelType w:val="hybridMultilevel"/>
    <w:tmpl w:val="D02259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111BF"/>
    <w:multiLevelType w:val="hybridMultilevel"/>
    <w:tmpl w:val="037ACF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15248"/>
    <w:multiLevelType w:val="multilevel"/>
    <w:tmpl w:val="AAC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7610B"/>
    <w:multiLevelType w:val="multilevel"/>
    <w:tmpl w:val="6D2C9C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sv-SE" w:vendorID="666" w:dllVersion="513" w:checkStyle="1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stylePaneFormatFilter w:val="3F01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53573"/>
    <w:rsid w:val="00020A47"/>
    <w:rsid w:val="00035CA5"/>
    <w:rsid w:val="00050B74"/>
    <w:rsid w:val="00053573"/>
    <w:rsid w:val="0006657F"/>
    <w:rsid w:val="00096099"/>
    <w:rsid w:val="000A3A24"/>
    <w:rsid w:val="00105083"/>
    <w:rsid w:val="0013084C"/>
    <w:rsid w:val="00132E38"/>
    <w:rsid w:val="001429C2"/>
    <w:rsid w:val="00182AA4"/>
    <w:rsid w:val="00197858"/>
    <w:rsid w:val="001D48D9"/>
    <w:rsid w:val="001E452A"/>
    <w:rsid w:val="001F17ED"/>
    <w:rsid w:val="002158E4"/>
    <w:rsid w:val="00240AF1"/>
    <w:rsid w:val="00244B2B"/>
    <w:rsid w:val="00252D5F"/>
    <w:rsid w:val="002553D3"/>
    <w:rsid w:val="00284AB5"/>
    <w:rsid w:val="0029173C"/>
    <w:rsid w:val="002E308F"/>
    <w:rsid w:val="00322DE7"/>
    <w:rsid w:val="00367099"/>
    <w:rsid w:val="003C23E9"/>
    <w:rsid w:val="003C5AA6"/>
    <w:rsid w:val="003C668D"/>
    <w:rsid w:val="003C6FA6"/>
    <w:rsid w:val="003F1E82"/>
    <w:rsid w:val="00417411"/>
    <w:rsid w:val="00455F89"/>
    <w:rsid w:val="00456374"/>
    <w:rsid w:val="00462906"/>
    <w:rsid w:val="004666E3"/>
    <w:rsid w:val="00467323"/>
    <w:rsid w:val="004719AC"/>
    <w:rsid w:val="00474D2F"/>
    <w:rsid w:val="004878D0"/>
    <w:rsid w:val="004959CC"/>
    <w:rsid w:val="004A797A"/>
    <w:rsid w:val="005246E0"/>
    <w:rsid w:val="00593EEF"/>
    <w:rsid w:val="005B5E9B"/>
    <w:rsid w:val="005C18E4"/>
    <w:rsid w:val="005D55CA"/>
    <w:rsid w:val="006027A5"/>
    <w:rsid w:val="006248D1"/>
    <w:rsid w:val="0064522A"/>
    <w:rsid w:val="0069254D"/>
    <w:rsid w:val="006C4BD2"/>
    <w:rsid w:val="006D41F5"/>
    <w:rsid w:val="006D6DDE"/>
    <w:rsid w:val="006E48A0"/>
    <w:rsid w:val="006E5CD9"/>
    <w:rsid w:val="00702093"/>
    <w:rsid w:val="00724EC8"/>
    <w:rsid w:val="00730EAC"/>
    <w:rsid w:val="0073765D"/>
    <w:rsid w:val="00766444"/>
    <w:rsid w:val="00795998"/>
    <w:rsid w:val="007C4B50"/>
    <w:rsid w:val="007C5CF5"/>
    <w:rsid w:val="00803135"/>
    <w:rsid w:val="008061D7"/>
    <w:rsid w:val="00816A12"/>
    <w:rsid w:val="00844C73"/>
    <w:rsid w:val="00847258"/>
    <w:rsid w:val="008645AE"/>
    <w:rsid w:val="008A1B74"/>
    <w:rsid w:val="008A3BFE"/>
    <w:rsid w:val="008B4A9E"/>
    <w:rsid w:val="008D368B"/>
    <w:rsid w:val="009045FA"/>
    <w:rsid w:val="00925149"/>
    <w:rsid w:val="009B210D"/>
    <w:rsid w:val="009C36A5"/>
    <w:rsid w:val="009F0BD7"/>
    <w:rsid w:val="00A06E1E"/>
    <w:rsid w:val="00A26315"/>
    <w:rsid w:val="00A524A2"/>
    <w:rsid w:val="00A556B6"/>
    <w:rsid w:val="00A65613"/>
    <w:rsid w:val="00A75CB9"/>
    <w:rsid w:val="00AB2482"/>
    <w:rsid w:val="00AD012A"/>
    <w:rsid w:val="00AE0A6A"/>
    <w:rsid w:val="00B0484D"/>
    <w:rsid w:val="00B1083D"/>
    <w:rsid w:val="00B654A3"/>
    <w:rsid w:val="00B8105C"/>
    <w:rsid w:val="00B8243F"/>
    <w:rsid w:val="00B97990"/>
    <w:rsid w:val="00BE3530"/>
    <w:rsid w:val="00BE7937"/>
    <w:rsid w:val="00BF3FD5"/>
    <w:rsid w:val="00BF6B77"/>
    <w:rsid w:val="00C067A3"/>
    <w:rsid w:val="00C13372"/>
    <w:rsid w:val="00C34171"/>
    <w:rsid w:val="00C355DD"/>
    <w:rsid w:val="00CB740D"/>
    <w:rsid w:val="00CF3728"/>
    <w:rsid w:val="00D0764A"/>
    <w:rsid w:val="00D249CF"/>
    <w:rsid w:val="00D35D0F"/>
    <w:rsid w:val="00D42FA8"/>
    <w:rsid w:val="00D91217"/>
    <w:rsid w:val="00D95298"/>
    <w:rsid w:val="00DB1989"/>
    <w:rsid w:val="00DE609C"/>
    <w:rsid w:val="00DF108F"/>
    <w:rsid w:val="00E05C72"/>
    <w:rsid w:val="00E106DC"/>
    <w:rsid w:val="00E46FA3"/>
    <w:rsid w:val="00E522AB"/>
    <w:rsid w:val="00E636F3"/>
    <w:rsid w:val="00E766C3"/>
    <w:rsid w:val="00E82EDA"/>
    <w:rsid w:val="00EC5A02"/>
    <w:rsid w:val="00ED0948"/>
    <w:rsid w:val="00F2359F"/>
    <w:rsid w:val="00F53E3E"/>
    <w:rsid w:val="00FC1BB7"/>
    <w:rsid w:val="00FC4662"/>
    <w:rsid w:val="00FC623D"/>
    <w:rsid w:val="00FC75EF"/>
    <w:rsid w:val="00FD7BF1"/>
    <w:rsid w:val="00FE11DC"/>
    <w:rsid w:val="00FE33B9"/>
    <w:rsid w:val="00F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97A"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4A797A"/>
    <w:pPr>
      <w:keepNext/>
      <w:tabs>
        <w:tab w:val="left" w:pos="6220"/>
      </w:tabs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rsid w:val="004A797A"/>
    <w:pPr>
      <w:keepNext/>
      <w:tabs>
        <w:tab w:val="left" w:pos="6220"/>
      </w:tabs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6248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4A797A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4A797A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4A797A"/>
    <w:pPr>
      <w:spacing w:line="300" w:lineRule="atLeast"/>
    </w:pPr>
    <w:rPr>
      <w:rFonts w:ascii="Stone Sans Bold" w:hAnsi="Stone Sans Bold"/>
      <w:sz w:val="20"/>
    </w:rPr>
  </w:style>
  <w:style w:type="character" w:styleId="Hyperlnk">
    <w:name w:val="Hyperlink"/>
    <w:basedOn w:val="Standardstycketeckensnitt"/>
    <w:rsid w:val="004A797A"/>
    <w:rPr>
      <w:color w:val="0000FF"/>
      <w:u w:val="single"/>
    </w:rPr>
  </w:style>
  <w:style w:type="character" w:styleId="AnvndHyperlnk">
    <w:name w:val="FollowedHyperlink"/>
    <w:basedOn w:val="Standardstycketeckensnitt"/>
    <w:rsid w:val="004A797A"/>
    <w:rPr>
      <w:color w:val="800080"/>
      <w:u w:val="single"/>
    </w:rPr>
  </w:style>
  <w:style w:type="character" w:styleId="Sidnummer">
    <w:name w:val="page number"/>
    <w:basedOn w:val="Standardstycketeckensnitt"/>
    <w:rsid w:val="004A797A"/>
  </w:style>
  <w:style w:type="paragraph" w:styleId="Dokumentversikt">
    <w:name w:val="Document Map"/>
    <w:basedOn w:val="Normal"/>
    <w:semiHidden/>
    <w:rsid w:val="00050B74"/>
    <w:pPr>
      <w:shd w:val="clear" w:color="auto" w:fill="000080"/>
    </w:pPr>
    <w:rPr>
      <w:rFonts w:ascii="Tahoma" w:hAnsi="Tahoma" w:cs="Tahoma"/>
      <w:sz w:val="20"/>
    </w:rPr>
  </w:style>
  <w:style w:type="paragraph" w:styleId="Ballongtext">
    <w:name w:val="Balloon Text"/>
    <w:basedOn w:val="Normal"/>
    <w:semiHidden/>
    <w:rsid w:val="005C18E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rsid w:val="006248D1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normal0">
    <w:name w:val="normal"/>
    <w:basedOn w:val="Standardstycketeckensnitt"/>
    <w:rsid w:val="006248D1"/>
  </w:style>
  <w:style w:type="character" w:styleId="Stark">
    <w:name w:val="Strong"/>
    <w:basedOn w:val="Standardstycketeckensnitt"/>
    <w:qFormat/>
    <w:rsid w:val="006248D1"/>
    <w:rPr>
      <w:b/>
      <w:bCs/>
    </w:rPr>
  </w:style>
  <w:style w:type="paragraph" w:styleId="Brdtextmedindrag">
    <w:name w:val="Body Text Indent"/>
    <w:basedOn w:val="Normal"/>
    <w:rsid w:val="00A65613"/>
    <w:pPr>
      <w:spacing w:after="120"/>
      <w:ind w:left="283"/>
    </w:pPr>
  </w:style>
  <w:style w:type="paragraph" w:styleId="Brdtextmedindrag2">
    <w:name w:val="Body Text Indent 2"/>
    <w:basedOn w:val="Normal"/>
    <w:rsid w:val="0092514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dovisning@slu.s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Ekonomimeddelande</vt:lpstr>
    </vt:vector>
  </TitlesOfParts>
  <Company>Informationsavdelningen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Ekonomimeddelande</dc:title>
  <dc:subject/>
  <dc:creator>Inger Johansson</dc:creator>
  <cp:keywords/>
  <dc:description/>
  <cp:lastModifiedBy>Marie Ahlgren</cp:lastModifiedBy>
  <cp:revision>3</cp:revision>
  <cp:lastPrinted>2010-06-30T14:46:00Z</cp:lastPrinted>
  <dcterms:created xsi:type="dcterms:W3CDTF">2010-07-01T11:50:00Z</dcterms:created>
  <dcterms:modified xsi:type="dcterms:W3CDTF">2010-07-01T11:53:00Z</dcterms:modified>
</cp:coreProperties>
</file>