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186E4" w14:textId="77777777" w:rsidR="00572729" w:rsidRPr="00F90A92" w:rsidRDefault="00572729">
      <w:pPr>
        <w:pStyle w:val="Rubrik1"/>
        <w:jc w:val="center"/>
        <w:rPr>
          <w:b w:val="0"/>
          <w:sz w:val="40"/>
          <w:szCs w:val="40"/>
        </w:rPr>
      </w:pPr>
    </w:p>
    <w:p w14:paraId="1E70A3E9" w14:textId="77777777" w:rsidR="00572729" w:rsidRDefault="00572729">
      <w:pPr>
        <w:pStyle w:val="Rubrik1"/>
        <w:jc w:val="center"/>
        <w:rPr>
          <w:sz w:val="40"/>
          <w:szCs w:val="40"/>
        </w:rPr>
      </w:pPr>
    </w:p>
    <w:p w14:paraId="624CD545" w14:textId="77777777" w:rsidR="00572729" w:rsidRDefault="00572729">
      <w:pPr>
        <w:pStyle w:val="Rubrik1"/>
        <w:jc w:val="center"/>
        <w:rPr>
          <w:sz w:val="40"/>
          <w:szCs w:val="40"/>
        </w:rPr>
      </w:pPr>
    </w:p>
    <w:p w14:paraId="389E97AD" w14:textId="77777777" w:rsidR="00572729" w:rsidRDefault="00572729">
      <w:pPr>
        <w:pStyle w:val="Rubrik1"/>
        <w:jc w:val="center"/>
        <w:rPr>
          <w:sz w:val="40"/>
          <w:szCs w:val="40"/>
        </w:rPr>
      </w:pPr>
    </w:p>
    <w:p w14:paraId="372D98FF" w14:textId="77777777" w:rsidR="009C2AE2" w:rsidRDefault="00885C0F" w:rsidP="0078172D">
      <w:pPr>
        <w:jc w:val="center"/>
        <w:rPr>
          <w:sz w:val="72"/>
          <w:szCs w:val="72"/>
        </w:rPr>
      </w:pPr>
      <w:bookmarkStart w:id="0" w:name="_Toc242172712"/>
      <w:bookmarkStart w:id="1" w:name="_Toc242172827"/>
      <w:r w:rsidRPr="00885C0F">
        <w:rPr>
          <w:rFonts w:ascii="Arial" w:hAnsi="Arial" w:cs="Arial"/>
          <w:sz w:val="72"/>
          <w:szCs w:val="72"/>
        </w:rPr>
        <w:t>Handledning för SLU</w:t>
      </w:r>
      <w:bookmarkEnd w:id="0"/>
      <w:bookmarkEnd w:id="1"/>
    </w:p>
    <w:p w14:paraId="6B533D9C" w14:textId="77777777" w:rsidR="00572729" w:rsidRDefault="00572729">
      <w:pPr>
        <w:pStyle w:val="Rubrik1"/>
        <w:jc w:val="center"/>
      </w:pPr>
    </w:p>
    <w:p w14:paraId="736F74BE" w14:textId="77777777" w:rsidR="009C2AE2" w:rsidRDefault="007A3903" w:rsidP="0078172D">
      <w:pPr>
        <w:jc w:val="center"/>
        <w:rPr>
          <w:sz w:val="36"/>
          <w:szCs w:val="36"/>
        </w:rPr>
      </w:pPr>
      <w:r>
        <w:rPr>
          <w:rFonts w:ascii="Arial" w:hAnsi="Arial" w:cs="Arial"/>
          <w:sz w:val="36"/>
          <w:szCs w:val="36"/>
        </w:rPr>
        <w:t>SUHF:s</w:t>
      </w:r>
      <w:r w:rsidR="00885C0F" w:rsidRPr="00885C0F">
        <w:rPr>
          <w:rFonts w:ascii="Arial" w:hAnsi="Arial" w:cs="Arial"/>
          <w:sz w:val="36"/>
          <w:szCs w:val="36"/>
        </w:rPr>
        <w:t xml:space="preserve"> redovisningsmodell för indirekta kostnader vid universitet och högskolor</w:t>
      </w:r>
    </w:p>
    <w:p w14:paraId="15DE8C98" w14:textId="77777777" w:rsidR="00572729" w:rsidRDefault="00572729">
      <w:pPr>
        <w:pStyle w:val="Rubrik1"/>
        <w:jc w:val="center"/>
      </w:pPr>
    </w:p>
    <w:p w14:paraId="15C46888" w14:textId="77777777" w:rsidR="00572729" w:rsidRDefault="00572729"/>
    <w:p w14:paraId="2AEADD8F" w14:textId="77777777" w:rsidR="00572729" w:rsidRDefault="00572729"/>
    <w:p w14:paraId="0F427A9D" w14:textId="77777777" w:rsidR="00572729" w:rsidRDefault="00572729"/>
    <w:p w14:paraId="04668D57" w14:textId="77777777" w:rsidR="00572729" w:rsidRDefault="00572729"/>
    <w:p w14:paraId="6D48EDD6" w14:textId="77777777" w:rsidR="00572729" w:rsidRDefault="00572729"/>
    <w:p w14:paraId="21D92387" w14:textId="77777777" w:rsidR="00572729" w:rsidRDefault="00572729"/>
    <w:p w14:paraId="2234C464" w14:textId="77777777" w:rsidR="00572729" w:rsidRDefault="00572729"/>
    <w:p w14:paraId="5D5EFBB4" w14:textId="77777777" w:rsidR="00572729" w:rsidRDefault="00572729"/>
    <w:p w14:paraId="1FEB1E41" w14:textId="77777777" w:rsidR="00572729" w:rsidRDefault="00572729"/>
    <w:p w14:paraId="19F472BD" w14:textId="77777777" w:rsidR="00572729" w:rsidRDefault="00572729"/>
    <w:p w14:paraId="51E28F4E" w14:textId="77777777" w:rsidR="00572729" w:rsidRDefault="00572729"/>
    <w:p w14:paraId="7BA08A95" w14:textId="77777777" w:rsidR="00572729" w:rsidRDefault="00572729"/>
    <w:p w14:paraId="58F181DE" w14:textId="77777777" w:rsidR="00572729" w:rsidRDefault="00572729"/>
    <w:p w14:paraId="441018B6" w14:textId="77777777" w:rsidR="00572729" w:rsidRDefault="00572729"/>
    <w:p w14:paraId="3890C9A5" w14:textId="77777777" w:rsidR="00572729" w:rsidRDefault="00572729"/>
    <w:p w14:paraId="25949C61" w14:textId="77777777" w:rsidR="00572729" w:rsidRDefault="00572729"/>
    <w:p w14:paraId="513FFC1F" w14:textId="77777777" w:rsidR="009E36F9" w:rsidRDefault="009E36F9"/>
    <w:p w14:paraId="1EB804A9" w14:textId="77777777" w:rsidR="009E36F9" w:rsidRDefault="009E36F9"/>
    <w:p w14:paraId="24276E19" w14:textId="77777777" w:rsidR="008B1E27" w:rsidRDefault="008B1E27" w:rsidP="00600C8F">
      <w:pPr>
        <w:pStyle w:val="Innehll1"/>
        <w:tabs>
          <w:tab w:val="left" w:pos="480"/>
          <w:tab w:val="right" w:leader="dot" w:pos="9062"/>
        </w:tabs>
      </w:pPr>
      <w:r>
        <w:br w:type="page"/>
      </w:r>
    </w:p>
    <w:p w14:paraId="21CDDFD7" w14:textId="77777777" w:rsidR="000B0814" w:rsidRDefault="00CF62BF">
      <w:pPr>
        <w:pStyle w:val="Innehll1"/>
        <w:tabs>
          <w:tab w:val="left" w:pos="480"/>
          <w:tab w:val="right" w:leader="dot" w:pos="9062"/>
        </w:tabs>
        <w:rPr>
          <w:rFonts w:asciiTheme="minorHAnsi" w:eastAsiaTheme="minorEastAsia" w:hAnsiTheme="minorHAnsi" w:cstheme="minorBidi"/>
          <w:noProof/>
          <w:sz w:val="22"/>
          <w:szCs w:val="22"/>
        </w:rPr>
      </w:pPr>
      <w:r>
        <w:lastRenderedPageBreak/>
        <w:fldChar w:fldCharType="begin"/>
      </w:r>
      <w:r w:rsidR="000750C8">
        <w:instrText xml:space="preserve"> TOC \o "1-3" \h \z \u </w:instrText>
      </w:r>
      <w:r>
        <w:fldChar w:fldCharType="separate"/>
      </w:r>
      <w:hyperlink w:anchor="_Toc405886391" w:history="1">
        <w:r w:rsidR="000B0814" w:rsidRPr="008C5636">
          <w:rPr>
            <w:rStyle w:val="Hyperlnk"/>
            <w:noProof/>
          </w:rPr>
          <w:t>1.</w:t>
        </w:r>
        <w:r w:rsidR="000B0814">
          <w:rPr>
            <w:rFonts w:asciiTheme="minorHAnsi" w:eastAsiaTheme="minorEastAsia" w:hAnsiTheme="minorHAnsi" w:cstheme="minorBidi"/>
            <w:noProof/>
            <w:sz w:val="22"/>
            <w:szCs w:val="22"/>
          </w:rPr>
          <w:tab/>
        </w:r>
        <w:r w:rsidR="000B0814" w:rsidRPr="008C5636">
          <w:rPr>
            <w:rStyle w:val="Hyperlnk"/>
            <w:noProof/>
          </w:rPr>
          <w:t>Inledning</w:t>
        </w:r>
        <w:r w:rsidR="000B0814">
          <w:rPr>
            <w:noProof/>
            <w:webHidden/>
          </w:rPr>
          <w:tab/>
        </w:r>
        <w:r w:rsidR="000B0814">
          <w:rPr>
            <w:noProof/>
            <w:webHidden/>
          </w:rPr>
          <w:fldChar w:fldCharType="begin"/>
        </w:r>
        <w:r w:rsidR="000B0814">
          <w:rPr>
            <w:noProof/>
            <w:webHidden/>
          </w:rPr>
          <w:instrText xml:space="preserve"> PAGEREF _Toc405886391 \h </w:instrText>
        </w:r>
        <w:r w:rsidR="000B0814">
          <w:rPr>
            <w:noProof/>
            <w:webHidden/>
          </w:rPr>
        </w:r>
        <w:r w:rsidR="000B0814">
          <w:rPr>
            <w:noProof/>
            <w:webHidden/>
          </w:rPr>
          <w:fldChar w:fldCharType="separate"/>
        </w:r>
        <w:r w:rsidR="000B0814">
          <w:rPr>
            <w:noProof/>
            <w:webHidden/>
          </w:rPr>
          <w:t>1</w:t>
        </w:r>
        <w:r w:rsidR="000B0814">
          <w:rPr>
            <w:noProof/>
            <w:webHidden/>
          </w:rPr>
          <w:fldChar w:fldCharType="end"/>
        </w:r>
      </w:hyperlink>
    </w:p>
    <w:p w14:paraId="7210F087" w14:textId="77777777" w:rsidR="000B0814" w:rsidRDefault="00F90A92">
      <w:pPr>
        <w:pStyle w:val="Innehll1"/>
        <w:tabs>
          <w:tab w:val="left" w:pos="480"/>
          <w:tab w:val="right" w:leader="dot" w:pos="9062"/>
        </w:tabs>
        <w:rPr>
          <w:rFonts w:asciiTheme="minorHAnsi" w:eastAsiaTheme="minorEastAsia" w:hAnsiTheme="minorHAnsi" w:cstheme="minorBidi"/>
          <w:noProof/>
          <w:sz w:val="22"/>
          <w:szCs w:val="22"/>
        </w:rPr>
      </w:pPr>
      <w:hyperlink w:anchor="_Toc405886392" w:history="1">
        <w:r w:rsidR="000B0814" w:rsidRPr="008C5636">
          <w:rPr>
            <w:rStyle w:val="Hyperlnk"/>
            <w:noProof/>
          </w:rPr>
          <w:t>2.</w:t>
        </w:r>
        <w:r w:rsidR="000B0814">
          <w:rPr>
            <w:rFonts w:asciiTheme="minorHAnsi" w:eastAsiaTheme="minorEastAsia" w:hAnsiTheme="minorHAnsi" w:cstheme="minorBidi"/>
            <w:noProof/>
            <w:sz w:val="22"/>
            <w:szCs w:val="22"/>
          </w:rPr>
          <w:tab/>
        </w:r>
        <w:r w:rsidR="000B0814" w:rsidRPr="008C5636">
          <w:rPr>
            <w:rStyle w:val="Hyperlnk"/>
            <w:noProof/>
          </w:rPr>
          <w:t>Modellen</w:t>
        </w:r>
        <w:r w:rsidR="000B0814">
          <w:rPr>
            <w:noProof/>
            <w:webHidden/>
          </w:rPr>
          <w:tab/>
        </w:r>
        <w:r w:rsidR="000B0814">
          <w:rPr>
            <w:noProof/>
            <w:webHidden/>
          </w:rPr>
          <w:fldChar w:fldCharType="begin"/>
        </w:r>
        <w:r w:rsidR="000B0814">
          <w:rPr>
            <w:noProof/>
            <w:webHidden/>
          </w:rPr>
          <w:instrText xml:space="preserve"> PAGEREF _Toc405886392 \h </w:instrText>
        </w:r>
        <w:r w:rsidR="000B0814">
          <w:rPr>
            <w:noProof/>
            <w:webHidden/>
          </w:rPr>
        </w:r>
        <w:r w:rsidR="000B0814">
          <w:rPr>
            <w:noProof/>
            <w:webHidden/>
          </w:rPr>
          <w:fldChar w:fldCharType="separate"/>
        </w:r>
        <w:r w:rsidR="000B0814">
          <w:rPr>
            <w:noProof/>
            <w:webHidden/>
          </w:rPr>
          <w:t>2</w:t>
        </w:r>
        <w:r w:rsidR="000B0814">
          <w:rPr>
            <w:noProof/>
            <w:webHidden/>
          </w:rPr>
          <w:fldChar w:fldCharType="end"/>
        </w:r>
      </w:hyperlink>
    </w:p>
    <w:p w14:paraId="0EE85871" w14:textId="77777777" w:rsidR="000B0814" w:rsidRDefault="00F90A92">
      <w:pPr>
        <w:pStyle w:val="Innehll2"/>
        <w:rPr>
          <w:rFonts w:asciiTheme="minorHAnsi" w:eastAsiaTheme="minorEastAsia" w:hAnsiTheme="minorHAnsi" w:cstheme="minorBidi"/>
          <w:noProof/>
          <w:sz w:val="22"/>
          <w:szCs w:val="22"/>
        </w:rPr>
      </w:pPr>
      <w:hyperlink w:anchor="_Toc405886393" w:history="1">
        <w:r w:rsidR="000B0814" w:rsidRPr="008C5636">
          <w:rPr>
            <w:rStyle w:val="Hyperlnk"/>
            <w:noProof/>
          </w:rPr>
          <w:t>2.1 Kostnadsbärare</w:t>
        </w:r>
        <w:r w:rsidR="000B0814">
          <w:rPr>
            <w:noProof/>
            <w:webHidden/>
          </w:rPr>
          <w:tab/>
        </w:r>
        <w:r w:rsidR="000B0814">
          <w:rPr>
            <w:noProof/>
            <w:webHidden/>
          </w:rPr>
          <w:fldChar w:fldCharType="begin"/>
        </w:r>
        <w:r w:rsidR="000B0814">
          <w:rPr>
            <w:noProof/>
            <w:webHidden/>
          </w:rPr>
          <w:instrText xml:space="preserve"> PAGEREF _Toc405886393 \h </w:instrText>
        </w:r>
        <w:r w:rsidR="000B0814">
          <w:rPr>
            <w:noProof/>
            <w:webHidden/>
          </w:rPr>
        </w:r>
        <w:r w:rsidR="000B0814">
          <w:rPr>
            <w:noProof/>
            <w:webHidden/>
          </w:rPr>
          <w:fldChar w:fldCharType="separate"/>
        </w:r>
        <w:r w:rsidR="000B0814">
          <w:rPr>
            <w:noProof/>
            <w:webHidden/>
          </w:rPr>
          <w:t>2</w:t>
        </w:r>
        <w:r w:rsidR="000B0814">
          <w:rPr>
            <w:noProof/>
            <w:webHidden/>
          </w:rPr>
          <w:fldChar w:fldCharType="end"/>
        </w:r>
      </w:hyperlink>
    </w:p>
    <w:p w14:paraId="0295A206" w14:textId="77777777" w:rsidR="000B0814" w:rsidRDefault="00F90A92">
      <w:pPr>
        <w:pStyle w:val="Innehll2"/>
        <w:rPr>
          <w:rFonts w:asciiTheme="minorHAnsi" w:eastAsiaTheme="minorEastAsia" w:hAnsiTheme="minorHAnsi" w:cstheme="minorBidi"/>
          <w:noProof/>
          <w:sz w:val="22"/>
          <w:szCs w:val="22"/>
        </w:rPr>
      </w:pPr>
      <w:hyperlink w:anchor="_Toc405886394" w:history="1">
        <w:r w:rsidR="000B0814" w:rsidRPr="008C5636">
          <w:rPr>
            <w:rStyle w:val="Hyperlnk"/>
            <w:noProof/>
          </w:rPr>
          <w:t>2.2 Direkta och indirekta kostnader</w:t>
        </w:r>
        <w:r w:rsidR="000B0814">
          <w:rPr>
            <w:noProof/>
            <w:webHidden/>
          </w:rPr>
          <w:tab/>
        </w:r>
        <w:r w:rsidR="000B0814">
          <w:rPr>
            <w:noProof/>
            <w:webHidden/>
          </w:rPr>
          <w:fldChar w:fldCharType="begin"/>
        </w:r>
        <w:r w:rsidR="000B0814">
          <w:rPr>
            <w:noProof/>
            <w:webHidden/>
          </w:rPr>
          <w:instrText xml:space="preserve"> PAGEREF _Toc405886394 \h </w:instrText>
        </w:r>
        <w:r w:rsidR="000B0814">
          <w:rPr>
            <w:noProof/>
            <w:webHidden/>
          </w:rPr>
        </w:r>
        <w:r w:rsidR="000B0814">
          <w:rPr>
            <w:noProof/>
            <w:webHidden/>
          </w:rPr>
          <w:fldChar w:fldCharType="separate"/>
        </w:r>
        <w:r w:rsidR="000B0814">
          <w:rPr>
            <w:noProof/>
            <w:webHidden/>
          </w:rPr>
          <w:t>2</w:t>
        </w:r>
        <w:r w:rsidR="000B0814">
          <w:rPr>
            <w:noProof/>
            <w:webHidden/>
          </w:rPr>
          <w:fldChar w:fldCharType="end"/>
        </w:r>
      </w:hyperlink>
    </w:p>
    <w:p w14:paraId="417571C8" w14:textId="77777777" w:rsidR="000B0814" w:rsidRDefault="00F90A92">
      <w:pPr>
        <w:pStyle w:val="Innehll2"/>
        <w:rPr>
          <w:rFonts w:asciiTheme="minorHAnsi" w:eastAsiaTheme="minorEastAsia" w:hAnsiTheme="minorHAnsi" w:cstheme="minorBidi"/>
          <w:noProof/>
          <w:sz w:val="22"/>
          <w:szCs w:val="22"/>
        </w:rPr>
      </w:pPr>
      <w:hyperlink w:anchor="_Toc405886395" w:history="1">
        <w:r w:rsidR="000B0814" w:rsidRPr="008C5636">
          <w:rPr>
            <w:rStyle w:val="Hyperlnk"/>
            <w:noProof/>
          </w:rPr>
          <w:t>2.3 Strukturering i huvudfunktioner</w:t>
        </w:r>
        <w:r w:rsidR="000B0814">
          <w:rPr>
            <w:noProof/>
            <w:webHidden/>
          </w:rPr>
          <w:tab/>
        </w:r>
        <w:r w:rsidR="000B0814">
          <w:rPr>
            <w:noProof/>
            <w:webHidden/>
          </w:rPr>
          <w:fldChar w:fldCharType="begin"/>
        </w:r>
        <w:r w:rsidR="000B0814">
          <w:rPr>
            <w:noProof/>
            <w:webHidden/>
          </w:rPr>
          <w:instrText xml:space="preserve"> PAGEREF _Toc405886395 \h </w:instrText>
        </w:r>
        <w:r w:rsidR="000B0814">
          <w:rPr>
            <w:noProof/>
            <w:webHidden/>
          </w:rPr>
        </w:r>
        <w:r w:rsidR="000B0814">
          <w:rPr>
            <w:noProof/>
            <w:webHidden/>
          </w:rPr>
          <w:fldChar w:fldCharType="separate"/>
        </w:r>
        <w:r w:rsidR="000B0814">
          <w:rPr>
            <w:noProof/>
            <w:webHidden/>
          </w:rPr>
          <w:t>3</w:t>
        </w:r>
        <w:r w:rsidR="000B0814">
          <w:rPr>
            <w:noProof/>
            <w:webHidden/>
          </w:rPr>
          <w:fldChar w:fldCharType="end"/>
        </w:r>
      </w:hyperlink>
    </w:p>
    <w:p w14:paraId="519AE8F0" w14:textId="77777777" w:rsidR="000B0814" w:rsidRDefault="00F90A92">
      <w:pPr>
        <w:pStyle w:val="Innehll2"/>
        <w:rPr>
          <w:rFonts w:asciiTheme="minorHAnsi" w:eastAsiaTheme="minorEastAsia" w:hAnsiTheme="minorHAnsi" w:cstheme="minorBidi"/>
          <w:noProof/>
          <w:sz w:val="22"/>
          <w:szCs w:val="22"/>
        </w:rPr>
      </w:pPr>
      <w:hyperlink w:anchor="_Toc405886396" w:history="1">
        <w:r w:rsidR="000B0814" w:rsidRPr="008C5636">
          <w:rPr>
            <w:rStyle w:val="Hyperlnk"/>
            <w:noProof/>
          </w:rPr>
          <w:t>2.4 Redovisningsområden</w:t>
        </w:r>
        <w:r w:rsidR="000B0814">
          <w:rPr>
            <w:noProof/>
            <w:webHidden/>
          </w:rPr>
          <w:tab/>
        </w:r>
        <w:r w:rsidR="000B0814">
          <w:rPr>
            <w:noProof/>
            <w:webHidden/>
          </w:rPr>
          <w:fldChar w:fldCharType="begin"/>
        </w:r>
        <w:r w:rsidR="000B0814">
          <w:rPr>
            <w:noProof/>
            <w:webHidden/>
          </w:rPr>
          <w:instrText xml:space="preserve"> PAGEREF _Toc405886396 \h </w:instrText>
        </w:r>
        <w:r w:rsidR="000B0814">
          <w:rPr>
            <w:noProof/>
            <w:webHidden/>
          </w:rPr>
        </w:r>
        <w:r w:rsidR="000B0814">
          <w:rPr>
            <w:noProof/>
            <w:webHidden/>
          </w:rPr>
          <w:fldChar w:fldCharType="separate"/>
        </w:r>
        <w:r w:rsidR="000B0814">
          <w:rPr>
            <w:noProof/>
            <w:webHidden/>
          </w:rPr>
          <w:t>4</w:t>
        </w:r>
        <w:r w:rsidR="000B0814">
          <w:rPr>
            <w:noProof/>
            <w:webHidden/>
          </w:rPr>
          <w:fldChar w:fldCharType="end"/>
        </w:r>
      </w:hyperlink>
    </w:p>
    <w:p w14:paraId="3EE72384" w14:textId="77777777" w:rsidR="000B0814" w:rsidRDefault="00F90A92">
      <w:pPr>
        <w:pStyle w:val="Innehll2"/>
        <w:rPr>
          <w:rFonts w:asciiTheme="minorHAnsi" w:eastAsiaTheme="minorEastAsia" w:hAnsiTheme="minorHAnsi" w:cstheme="minorBidi"/>
          <w:noProof/>
          <w:sz w:val="22"/>
          <w:szCs w:val="22"/>
        </w:rPr>
      </w:pPr>
      <w:hyperlink w:anchor="_Toc405886397" w:history="1">
        <w:r w:rsidR="000B0814" w:rsidRPr="008C5636">
          <w:rPr>
            <w:rStyle w:val="Hyperlnk"/>
            <w:noProof/>
          </w:rPr>
          <w:t>2.5 Lönebaserad fördelning</w:t>
        </w:r>
        <w:r w:rsidR="000B0814">
          <w:rPr>
            <w:noProof/>
            <w:webHidden/>
          </w:rPr>
          <w:tab/>
        </w:r>
        <w:r w:rsidR="000B0814">
          <w:rPr>
            <w:noProof/>
            <w:webHidden/>
          </w:rPr>
          <w:fldChar w:fldCharType="begin"/>
        </w:r>
        <w:r w:rsidR="000B0814">
          <w:rPr>
            <w:noProof/>
            <w:webHidden/>
          </w:rPr>
          <w:instrText xml:space="preserve"> PAGEREF _Toc405886397 \h </w:instrText>
        </w:r>
        <w:r w:rsidR="000B0814">
          <w:rPr>
            <w:noProof/>
            <w:webHidden/>
          </w:rPr>
        </w:r>
        <w:r w:rsidR="000B0814">
          <w:rPr>
            <w:noProof/>
            <w:webHidden/>
          </w:rPr>
          <w:fldChar w:fldCharType="separate"/>
        </w:r>
        <w:r w:rsidR="000B0814">
          <w:rPr>
            <w:noProof/>
            <w:webHidden/>
          </w:rPr>
          <w:t>4</w:t>
        </w:r>
        <w:r w:rsidR="000B0814">
          <w:rPr>
            <w:noProof/>
            <w:webHidden/>
          </w:rPr>
          <w:fldChar w:fldCharType="end"/>
        </w:r>
      </w:hyperlink>
    </w:p>
    <w:p w14:paraId="444A611C" w14:textId="77777777" w:rsidR="000B0814" w:rsidRDefault="00F90A92">
      <w:pPr>
        <w:pStyle w:val="Innehll2"/>
        <w:rPr>
          <w:rFonts w:asciiTheme="minorHAnsi" w:eastAsiaTheme="minorEastAsia" w:hAnsiTheme="minorHAnsi" w:cstheme="minorBidi"/>
          <w:noProof/>
          <w:sz w:val="22"/>
          <w:szCs w:val="22"/>
        </w:rPr>
      </w:pPr>
      <w:hyperlink w:anchor="_Toc405886398" w:history="1">
        <w:r w:rsidR="000B0814" w:rsidRPr="008C5636">
          <w:rPr>
            <w:rStyle w:val="Hyperlnk"/>
            <w:noProof/>
          </w:rPr>
          <w:t>2.6 Fördelning med fasta belopp</w:t>
        </w:r>
        <w:r w:rsidR="000B0814">
          <w:rPr>
            <w:noProof/>
            <w:webHidden/>
          </w:rPr>
          <w:tab/>
        </w:r>
        <w:r w:rsidR="000B0814">
          <w:rPr>
            <w:noProof/>
            <w:webHidden/>
          </w:rPr>
          <w:fldChar w:fldCharType="begin"/>
        </w:r>
        <w:r w:rsidR="000B0814">
          <w:rPr>
            <w:noProof/>
            <w:webHidden/>
          </w:rPr>
          <w:instrText xml:space="preserve"> PAGEREF _Toc405886398 \h </w:instrText>
        </w:r>
        <w:r w:rsidR="000B0814">
          <w:rPr>
            <w:noProof/>
            <w:webHidden/>
          </w:rPr>
        </w:r>
        <w:r w:rsidR="000B0814">
          <w:rPr>
            <w:noProof/>
            <w:webHidden/>
          </w:rPr>
          <w:fldChar w:fldCharType="separate"/>
        </w:r>
        <w:r w:rsidR="000B0814">
          <w:rPr>
            <w:noProof/>
            <w:webHidden/>
          </w:rPr>
          <w:t>5</w:t>
        </w:r>
        <w:r w:rsidR="000B0814">
          <w:rPr>
            <w:noProof/>
            <w:webHidden/>
          </w:rPr>
          <w:fldChar w:fldCharType="end"/>
        </w:r>
      </w:hyperlink>
    </w:p>
    <w:p w14:paraId="747C470F" w14:textId="77777777" w:rsidR="000B0814" w:rsidRDefault="00F90A92">
      <w:pPr>
        <w:pStyle w:val="Innehll2"/>
        <w:rPr>
          <w:rFonts w:asciiTheme="minorHAnsi" w:eastAsiaTheme="minorEastAsia" w:hAnsiTheme="minorHAnsi" w:cstheme="minorBidi"/>
          <w:noProof/>
          <w:sz w:val="22"/>
          <w:szCs w:val="22"/>
        </w:rPr>
      </w:pPr>
      <w:hyperlink w:anchor="_Toc405886399" w:history="1">
        <w:r w:rsidR="000B0814" w:rsidRPr="008C5636">
          <w:rPr>
            <w:rStyle w:val="Hyperlnk"/>
            <w:noProof/>
          </w:rPr>
          <w:t>2.7 Procentuella påslag</w:t>
        </w:r>
        <w:r w:rsidR="000B0814">
          <w:rPr>
            <w:noProof/>
            <w:webHidden/>
          </w:rPr>
          <w:tab/>
        </w:r>
        <w:r w:rsidR="000B0814">
          <w:rPr>
            <w:noProof/>
            <w:webHidden/>
          </w:rPr>
          <w:fldChar w:fldCharType="begin"/>
        </w:r>
        <w:r w:rsidR="000B0814">
          <w:rPr>
            <w:noProof/>
            <w:webHidden/>
          </w:rPr>
          <w:instrText xml:space="preserve"> PAGEREF _Toc405886399 \h </w:instrText>
        </w:r>
        <w:r w:rsidR="000B0814">
          <w:rPr>
            <w:noProof/>
            <w:webHidden/>
          </w:rPr>
        </w:r>
        <w:r w:rsidR="000B0814">
          <w:rPr>
            <w:noProof/>
            <w:webHidden/>
          </w:rPr>
          <w:fldChar w:fldCharType="separate"/>
        </w:r>
        <w:r w:rsidR="000B0814">
          <w:rPr>
            <w:noProof/>
            <w:webHidden/>
          </w:rPr>
          <w:t>5</w:t>
        </w:r>
        <w:r w:rsidR="000B0814">
          <w:rPr>
            <w:noProof/>
            <w:webHidden/>
          </w:rPr>
          <w:fldChar w:fldCharType="end"/>
        </w:r>
      </w:hyperlink>
    </w:p>
    <w:p w14:paraId="5EBF0D1F" w14:textId="77777777" w:rsidR="000B0814" w:rsidRDefault="00F90A92">
      <w:pPr>
        <w:pStyle w:val="Innehll2"/>
        <w:rPr>
          <w:rFonts w:asciiTheme="minorHAnsi" w:eastAsiaTheme="minorEastAsia" w:hAnsiTheme="minorHAnsi" w:cstheme="minorBidi"/>
          <w:noProof/>
          <w:sz w:val="22"/>
          <w:szCs w:val="22"/>
        </w:rPr>
      </w:pPr>
      <w:hyperlink w:anchor="_Toc405886400" w:history="1">
        <w:r w:rsidR="000B0814" w:rsidRPr="008C5636">
          <w:rPr>
            <w:rStyle w:val="Hyperlnk"/>
            <w:noProof/>
          </w:rPr>
          <w:t>2.8 Core facilities</w:t>
        </w:r>
        <w:r w:rsidR="000B0814">
          <w:rPr>
            <w:noProof/>
            <w:webHidden/>
          </w:rPr>
          <w:tab/>
        </w:r>
        <w:r w:rsidR="000B0814">
          <w:rPr>
            <w:noProof/>
            <w:webHidden/>
          </w:rPr>
          <w:fldChar w:fldCharType="begin"/>
        </w:r>
        <w:r w:rsidR="000B0814">
          <w:rPr>
            <w:noProof/>
            <w:webHidden/>
          </w:rPr>
          <w:instrText xml:space="preserve"> PAGEREF _Toc405886400 \h </w:instrText>
        </w:r>
        <w:r w:rsidR="000B0814">
          <w:rPr>
            <w:noProof/>
            <w:webHidden/>
          </w:rPr>
        </w:r>
        <w:r w:rsidR="000B0814">
          <w:rPr>
            <w:noProof/>
            <w:webHidden/>
          </w:rPr>
          <w:fldChar w:fldCharType="separate"/>
        </w:r>
        <w:r w:rsidR="000B0814">
          <w:rPr>
            <w:noProof/>
            <w:webHidden/>
          </w:rPr>
          <w:t>6</w:t>
        </w:r>
        <w:r w:rsidR="000B0814">
          <w:rPr>
            <w:noProof/>
            <w:webHidden/>
          </w:rPr>
          <w:fldChar w:fldCharType="end"/>
        </w:r>
      </w:hyperlink>
    </w:p>
    <w:p w14:paraId="62675612" w14:textId="77777777" w:rsidR="000B0814" w:rsidRDefault="00F90A92">
      <w:pPr>
        <w:pStyle w:val="Innehll2"/>
        <w:rPr>
          <w:rFonts w:asciiTheme="minorHAnsi" w:eastAsiaTheme="minorEastAsia" w:hAnsiTheme="minorHAnsi" w:cstheme="minorBidi"/>
          <w:noProof/>
          <w:sz w:val="22"/>
          <w:szCs w:val="22"/>
        </w:rPr>
      </w:pPr>
      <w:hyperlink w:anchor="_Toc405886401" w:history="1">
        <w:r w:rsidR="000B0814" w:rsidRPr="008C5636">
          <w:rPr>
            <w:rStyle w:val="Hyperlnk"/>
            <w:noProof/>
          </w:rPr>
          <w:t>2.9 Hantering av lokalkostnader</w:t>
        </w:r>
        <w:r w:rsidR="000B0814">
          <w:rPr>
            <w:noProof/>
            <w:webHidden/>
          </w:rPr>
          <w:tab/>
        </w:r>
        <w:r w:rsidR="000B0814">
          <w:rPr>
            <w:noProof/>
            <w:webHidden/>
          </w:rPr>
          <w:fldChar w:fldCharType="begin"/>
        </w:r>
        <w:r w:rsidR="000B0814">
          <w:rPr>
            <w:noProof/>
            <w:webHidden/>
          </w:rPr>
          <w:instrText xml:space="preserve"> PAGEREF _Toc405886401 \h </w:instrText>
        </w:r>
        <w:r w:rsidR="000B0814">
          <w:rPr>
            <w:noProof/>
            <w:webHidden/>
          </w:rPr>
        </w:r>
        <w:r w:rsidR="000B0814">
          <w:rPr>
            <w:noProof/>
            <w:webHidden/>
          </w:rPr>
          <w:fldChar w:fldCharType="separate"/>
        </w:r>
        <w:r w:rsidR="000B0814">
          <w:rPr>
            <w:noProof/>
            <w:webHidden/>
          </w:rPr>
          <w:t>6</w:t>
        </w:r>
        <w:r w:rsidR="000B0814">
          <w:rPr>
            <w:noProof/>
            <w:webHidden/>
          </w:rPr>
          <w:fldChar w:fldCharType="end"/>
        </w:r>
      </w:hyperlink>
    </w:p>
    <w:p w14:paraId="315DDB63" w14:textId="77777777" w:rsidR="000B0814" w:rsidRDefault="00F90A92">
      <w:pPr>
        <w:pStyle w:val="Innehll2"/>
        <w:rPr>
          <w:rFonts w:asciiTheme="minorHAnsi" w:eastAsiaTheme="minorEastAsia" w:hAnsiTheme="minorHAnsi" w:cstheme="minorBidi"/>
          <w:noProof/>
          <w:sz w:val="22"/>
          <w:szCs w:val="22"/>
        </w:rPr>
      </w:pPr>
      <w:hyperlink w:anchor="_Toc405886402" w:history="1">
        <w:r w:rsidR="000B0814" w:rsidRPr="008C5636">
          <w:rPr>
            <w:rStyle w:val="Hyperlnk"/>
            <w:noProof/>
          </w:rPr>
          <w:t>2.10 Kalkyl för ansökningar</w:t>
        </w:r>
        <w:r w:rsidR="000B0814">
          <w:rPr>
            <w:noProof/>
            <w:webHidden/>
          </w:rPr>
          <w:tab/>
        </w:r>
        <w:r w:rsidR="000B0814">
          <w:rPr>
            <w:noProof/>
            <w:webHidden/>
          </w:rPr>
          <w:fldChar w:fldCharType="begin"/>
        </w:r>
        <w:r w:rsidR="000B0814">
          <w:rPr>
            <w:noProof/>
            <w:webHidden/>
          </w:rPr>
          <w:instrText xml:space="preserve"> PAGEREF _Toc405886402 \h </w:instrText>
        </w:r>
        <w:r w:rsidR="000B0814">
          <w:rPr>
            <w:noProof/>
            <w:webHidden/>
          </w:rPr>
        </w:r>
        <w:r w:rsidR="000B0814">
          <w:rPr>
            <w:noProof/>
            <w:webHidden/>
          </w:rPr>
          <w:fldChar w:fldCharType="separate"/>
        </w:r>
        <w:r w:rsidR="000B0814">
          <w:rPr>
            <w:noProof/>
            <w:webHidden/>
          </w:rPr>
          <w:t>7</w:t>
        </w:r>
        <w:r w:rsidR="000B0814">
          <w:rPr>
            <w:noProof/>
            <w:webHidden/>
          </w:rPr>
          <w:fldChar w:fldCharType="end"/>
        </w:r>
      </w:hyperlink>
    </w:p>
    <w:p w14:paraId="01FC4F23" w14:textId="77777777" w:rsidR="000750C8" w:rsidRDefault="00CF62BF">
      <w:r>
        <w:fldChar w:fldCharType="end"/>
      </w:r>
    </w:p>
    <w:p w14:paraId="4774ABEF" w14:textId="77777777" w:rsidR="000750C8" w:rsidRDefault="000750C8" w:rsidP="000750C8">
      <w:pPr>
        <w:pStyle w:val="Rubrik1"/>
        <w:ind w:left="360"/>
      </w:pPr>
    </w:p>
    <w:p w14:paraId="78B63F8D" w14:textId="7C626FEE" w:rsidR="000B0814" w:rsidRDefault="000B0814" w:rsidP="000B0814"/>
    <w:p w14:paraId="09F44E09" w14:textId="77777777" w:rsidR="000B0814" w:rsidRPr="000B0814" w:rsidRDefault="000B0814" w:rsidP="000B0814"/>
    <w:p w14:paraId="61F4CED5" w14:textId="77777777" w:rsidR="000750C8" w:rsidRDefault="000750C8" w:rsidP="000750C8"/>
    <w:p w14:paraId="07AFBE83" w14:textId="77777777" w:rsidR="000750C8" w:rsidRDefault="000750C8" w:rsidP="000750C8"/>
    <w:p w14:paraId="7C2C681A" w14:textId="77777777" w:rsidR="000750C8" w:rsidRDefault="000750C8" w:rsidP="000750C8"/>
    <w:p w14:paraId="4EA29658" w14:textId="77777777" w:rsidR="000750C8" w:rsidRDefault="000750C8" w:rsidP="000750C8"/>
    <w:p w14:paraId="4E6E9332" w14:textId="77777777" w:rsidR="000750C8" w:rsidRDefault="000750C8" w:rsidP="000750C8"/>
    <w:p w14:paraId="0311CE38" w14:textId="77777777" w:rsidR="000750C8" w:rsidRDefault="000750C8" w:rsidP="000750C8"/>
    <w:p w14:paraId="5D20E0C8" w14:textId="77777777" w:rsidR="000750C8" w:rsidRDefault="000750C8" w:rsidP="000750C8"/>
    <w:p w14:paraId="515C3977" w14:textId="77777777" w:rsidR="000750C8" w:rsidRDefault="000750C8" w:rsidP="000750C8"/>
    <w:p w14:paraId="5A156EC8" w14:textId="77777777" w:rsidR="000750C8" w:rsidRDefault="000750C8" w:rsidP="000750C8"/>
    <w:p w14:paraId="0347E5B9" w14:textId="77777777" w:rsidR="000750C8" w:rsidRDefault="000750C8" w:rsidP="000750C8"/>
    <w:p w14:paraId="78448F5E" w14:textId="77777777" w:rsidR="000750C8" w:rsidRDefault="000750C8" w:rsidP="000750C8"/>
    <w:p w14:paraId="793D0CF2" w14:textId="77777777" w:rsidR="000750C8" w:rsidRDefault="000750C8" w:rsidP="000750C8"/>
    <w:p w14:paraId="3626A42A" w14:textId="77777777" w:rsidR="000750C8" w:rsidRDefault="000750C8" w:rsidP="000750C8"/>
    <w:p w14:paraId="0374A9AA" w14:textId="77777777" w:rsidR="000750C8" w:rsidRDefault="000750C8" w:rsidP="000750C8"/>
    <w:p w14:paraId="2D9DA065" w14:textId="77777777" w:rsidR="000750C8" w:rsidRDefault="000750C8" w:rsidP="000750C8"/>
    <w:p w14:paraId="131F2107" w14:textId="77777777" w:rsidR="000750C8" w:rsidRDefault="000750C8" w:rsidP="000750C8"/>
    <w:p w14:paraId="2C42D752" w14:textId="77777777" w:rsidR="000750C8" w:rsidRDefault="000750C8" w:rsidP="000750C8"/>
    <w:p w14:paraId="1B4B2D19" w14:textId="77777777" w:rsidR="000750C8" w:rsidRDefault="000750C8" w:rsidP="000750C8"/>
    <w:p w14:paraId="63E7CBDE" w14:textId="77777777" w:rsidR="000750C8" w:rsidRPr="000750C8" w:rsidRDefault="000750C8" w:rsidP="000750C8"/>
    <w:p w14:paraId="4E84ED4C" w14:textId="17B78243" w:rsidR="00572729" w:rsidRDefault="00572729">
      <w:pPr>
        <w:pStyle w:val="Rubrik1"/>
        <w:numPr>
          <w:ilvl w:val="0"/>
          <w:numId w:val="1"/>
        </w:numPr>
      </w:pPr>
      <w:bookmarkStart w:id="2" w:name="_Toc271210045"/>
      <w:bookmarkStart w:id="3" w:name="_Toc271210087"/>
      <w:bookmarkStart w:id="4" w:name="_Toc405886391"/>
      <w:r>
        <w:lastRenderedPageBreak/>
        <w:t>Inledning</w:t>
      </w:r>
      <w:bookmarkEnd w:id="2"/>
      <w:bookmarkEnd w:id="3"/>
      <w:bookmarkEnd w:id="4"/>
    </w:p>
    <w:p w14:paraId="5C905ACB" w14:textId="48A800E2" w:rsidR="002A1555" w:rsidRDefault="00572729">
      <w:r>
        <w:t xml:space="preserve">SUHF </w:t>
      </w:r>
      <w:r w:rsidR="00722367">
        <w:t xml:space="preserve">(Sveriges universitets- och högskoleförbund) </w:t>
      </w:r>
      <w:r>
        <w:t>har tagit fram en modell för hur geme</w:t>
      </w:r>
      <w:r w:rsidR="009D32E4">
        <w:t xml:space="preserve">nsamma kostnader ska redovisas, </w:t>
      </w:r>
      <w:r w:rsidR="007A3903">
        <w:t>SUHF:s</w:t>
      </w:r>
      <w:r w:rsidR="009D32E4">
        <w:t xml:space="preserve"> redovisningsmodell för indirekta kostnader vid universitet och högskolor. Syftet är att tydliggöra – såväl internt som för de externa finansiärerna – och rättvist fördela de indirekta kostnaderna samt att tillgodose </w:t>
      </w:r>
      <w:r w:rsidR="009D32E4" w:rsidRPr="009E6A6B">
        <w:t>Riksrevisionens</w:t>
      </w:r>
      <w:r w:rsidR="00722367" w:rsidRPr="009E6A6B">
        <w:t xml:space="preserve"> och finansiärernas</w:t>
      </w:r>
      <w:r w:rsidR="009D32E4" w:rsidRPr="009E6A6B">
        <w:t xml:space="preserve"> krav på bättre kostnads- och intäktsredovisning.</w:t>
      </w:r>
      <w:r>
        <w:t xml:space="preserve"> </w:t>
      </w:r>
      <w:r w:rsidR="002A1555">
        <w:t xml:space="preserve">En enhällig rekommendation från </w:t>
      </w:r>
      <w:r w:rsidR="007A3903">
        <w:t>SUHF:s</w:t>
      </w:r>
      <w:r w:rsidR="002A1555">
        <w:t xml:space="preserve"> förbundsförsamling</w:t>
      </w:r>
      <w:r w:rsidR="009D32E4">
        <w:t xml:space="preserve"> (</w:t>
      </w:r>
      <w:r w:rsidR="002A1555">
        <w:t>bestående av rektorerna och förvaltningscheferna för alla universitet och högskolor</w:t>
      </w:r>
      <w:r w:rsidR="009D32E4">
        <w:t>)</w:t>
      </w:r>
      <w:r w:rsidR="002A1555">
        <w:t xml:space="preserve"> att införa redovisningsmodellen kom 2007. Därefter har rektorerna vid lärosätena beslutat att redovisningsmodellen ska införas.</w:t>
      </w:r>
      <w:r w:rsidR="009D32E4">
        <w:t xml:space="preserve"> E</w:t>
      </w:r>
      <w:r w:rsidR="002A1555">
        <w:t xml:space="preserve">n anpassning till </w:t>
      </w:r>
      <w:r w:rsidR="007A3903">
        <w:t>SUHF:s</w:t>
      </w:r>
      <w:r w:rsidR="002A1555">
        <w:t xml:space="preserve"> modell </w:t>
      </w:r>
      <w:r w:rsidR="009D32E4">
        <w:t xml:space="preserve">leder därmed till </w:t>
      </w:r>
      <w:r w:rsidR="002A1555">
        <w:t>en gemensam syn med övriga universitet och högskolor.</w:t>
      </w:r>
      <w:r w:rsidR="00365E28" w:rsidRPr="00365E28">
        <w:t xml:space="preserve"> </w:t>
      </w:r>
      <w:r w:rsidR="007A3903">
        <w:t>SLU:s</w:t>
      </w:r>
      <w:r w:rsidR="00365E28">
        <w:t xml:space="preserve"> rektor beslutade i REB 2008-12-15 </w:t>
      </w:r>
      <w:r w:rsidR="006740AA">
        <w:t>att införa re</w:t>
      </w:r>
      <w:r w:rsidR="00C5006C">
        <w:t>dovisningsmodellen</w:t>
      </w:r>
      <w:r w:rsidR="006740AA">
        <w:t>.</w:t>
      </w:r>
      <w:r w:rsidR="00B27D1D">
        <w:t xml:space="preserve"> </w:t>
      </w:r>
      <w:r w:rsidR="00B27D1D" w:rsidRPr="00EB557B">
        <w:t>Nytt beslut om fördelning av universitets- och fakultetsgemensamma kostnader gäller fr.o.m. 2015.</w:t>
      </w:r>
    </w:p>
    <w:p w14:paraId="28F803F3" w14:textId="77777777" w:rsidR="002A1555" w:rsidRDefault="002A1555"/>
    <w:p w14:paraId="4DBC51D3" w14:textId="77777777" w:rsidR="00572729" w:rsidRDefault="007A3903">
      <w:r>
        <w:t>SUHF:s</w:t>
      </w:r>
      <w:r w:rsidR="009D32E4">
        <w:t xml:space="preserve"> redovisningsmodell</w:t>
      </w:r>
      <w:r w:rsidR="00572729">
        <w:t xml:space="preserve"> ska leda till en ökad insyn och transparens, vilket innebär att SLU ska kunna visa de verkliga direkta och indirekta kostnaderna för den bedrivna verksamheten, vare sig det är utbildning, forskning, fortlöpande miljöanalys eller uppdragsverksamhet. Samtliga kostnader ska vara uppföljningsbara och verifierbara samt spegla resursförbrukningen i verksamheten.</w:t>
      </w:r>
    </w:p>
    <w:p w14:paraId="4C9BEF9B" w14:textId="77777777" w:rsidR="00572729" w:rsidRDefault="00572729"/>
    <w:p w14:paraId="1543F2FD" w14:textId="77777777" w:rsidR="00572729" w:rsidRDefault="00572729">
      <w:r>
        <w:t>En transparent och tydlig redovisningsmodell är en förutsättning för att flera externa finansiärer ska kunna bidra till indirekta kostnader vid finansier</w:t>
      </w:r>
      <w:r w:rsidR="002A1555">
        <w:t>ing av forskningsprojekt</w:t>
      </w:r>
      <w:r>
        <w:t>. Förhoppningsvis leder det till ett ökat förtroende bland fin</w:t>
      </w:r>
      <w:r w:rsidR="002A1555">
        <w:t xml:space="preserve">ansiärerna för </w:t>
      </w:r>
      <w:r w:rsidR="007A3903">
        <w:t>SLU:s</w:t>
      </w:r>
      <w:r w:rsidR="002A1555">
        <w:t xml:space="preserve"> och andra universitets och högskolors redovisning.</w:t>
      </w:r>
      <w:r w:rsidR="009F2028">
        <w:t xml:space="preserve"> </w:t>
      </w:r>
    </w:p>
    <w:p w14:paraId="6ACD9A0A" w14:textId="77777777" w:rsidR="00572729" w:rsidRPr="00305699" w:rsidRDefault="00572729">
      <w:pPr>
        <w:rPr>
          <w:color w:val="FF0000"/>
        </w:rPr>
      </w:pPr>
    </w:p>
    <w:p w14:paraId="6C9B726F" w14:textId="77777777" w:rsidR="00572729" w:rsidRDefault="00572729"/>
    <w:p w14:paraId="2281EF75" w14:textId="77777777" w:rsidR="00572729" w:rsidRDefault="00572729">
      <w:pPr>
        <w:pStyle w:val="Rubrik1"/>
        <w:numPr>
          <w:ilvl w:val="0"/>
          <w:numId w:val="1"/>
        </w:numPr>
      </w:pPr>
      <w:bookmarkStart w:id="5" w:name="_Toc271210046"/>
      <w:bookmarkStart w:id="6" w:name="_Toc271210088"/>
      <w:bookmarkStart w:id="7" w:name="_Toc405886392"/>
      <w:r>
        <w:t>Modellen</w:t>
      </w:r>
      <w:bookmarkEnd w:id="5"/>
      <w:bookmarkEnd w:id="6"/>
      <w:bookmarkEnd w:id="7"/>
    </w:p>
    <w:p w14:paraId="4A33702A" w14:textId="77777777" w:rsidR="00572729" w:rsidRDefault="00572729">
      <w:pPr>
        <w:pStyle w:val="Rubrik2"/>
      </w:pPr>
      <w:bookmarkStart w:id="8" w:name="_Toc271210047"/>
      <w:bookmarkStart w:id="9" w:name="_Toc271210089"/>
      <w:bookmarkStart w:id="10" w:name="_Toc405886393"/>
      <w:r>
        <w:t>2.1 Kostnadsbärare</w:t>
      </w:r>
      <w:bookmarkEnd w:id="8"/>
      <w:bookmarkEnd w:id="9"/>
      <w:bookmarkEnd w:id="10"/>
    </w:p>
    <w:p w14:paraId="3262CD75" w14:textId="77777777" w:rsidR="00572729" w:rsidRDefault="00572729">
      <w:r>
        <w:t xml:space="preserve">Modellen bygger på att universitetet tar ställning till vilka verksamheter på olika nivåer, som är </w:t>
      </w:r>
      <w:r>
        <w:rPr>
          <w:i/>
        </w:rPr>
        <w:t>kärnverksamhet</w:t>
      </w:r>
      <w:r>
        <w:t xml:space="preserve"> respektive </w:t>
      </w:r>
      <w:r>
        <w:rPr>
          <w:i/>
        </w:rPr>
        <w:t>stödverksamhet</w:t>
      </w:r>
      <w:r>
        <w:t xml:space="preserve">. All kärnverksamhet delas in i </w:t>
      </w:r>
      <w:r>
        <w:rPr>
          <w:i/>
        </w:rPr>
        <w:t>kostnadsbärare</w:t>
      </w:r>
      <w:r>
        <w:t xml:space="preserve"> och det är stödverksamhetens kostnader som ska fördelas på dessa kostnadsbärare i kärnverksamheten. Kostnadsbärarna finns på den lägsta nivån – i kärnverksamheten vid institutionerna – men också i mindre omfattning på centrala nivån och fakultetsnivån.</w:t>
      </w:r>
    </w:p>
    <w:p w14:paraId="1370BEF3" w14:textId="77777777" w:rsidR="00572729" w:rsidRDefault="00572729"/>
    <w:p w14:paraId="675A21A7" w14:textId="77777777" w:rsidR="00CE2B1D" w:rsidRDefault="007F668B">
      <w:r w:rsidRPr="00C42EE3">
        <w:t>Kostnadsbäraren</w:t>
      </w:r>
      <w:r w:rsidR="00572729" w:rsidRPr="00C42EE3">
        <w:t xml:space="preserve"> är den lägsta nivån som </w:t>
      </w:r>
      <w:r w:rsidR="00CE2B1D" w:rsidRPr="00C42EE3">
        <w:t>universitetet</w:t>
      </w:r>
      <w:r w:rsidR="00572729" w:rsidRPr="00C42EE3">
        <w:t xml:space="preserve"> vill följa upp i redovisningen. På SLU är det enhet eller forskargrupp som </w:t>
      </w:r>
      <w:r w:rsidR="00CE2B1D" w:rsidRPr="00C42EE3">
        <w:t>ska användas som</w:t>
      </w:r>
      <w:r w:rsidR="00572729" w:rsidRPr="00C42EE3">
        <w:t xml:space="preserve"> kostnadsbärare</w:t>
      </w:r>
      <w:r w:rsidR="00CE2B1D" w:rsidRPr="00C42EE3">
        <w:t xml:space="preserve"> vid bidragsansökningar så långt det är möjligt. Där detta är omöjligt kan enheten använda ett projekt eller en grupp av projekt som en tillfällig kostnadsbärare i bidragsansökan samt återredovisning till finansiären</w:t>
      </w:r>
      <w:r w:rsidR="00572729" w:rsidRPr="00C42EE3">
        <w:t xml:space="preserve">. </w:t>
      </w:r>
      <w:r w:rsidR="00CE2B1D" w:rsidRPr="00C42EE3">
        <w:t>Enheter som är för stora för att användas som kostnadsbärare bör se över om de ska delas upp i mindre enheter.</w:t>
      </w:r>
    </w:p>
    <w:p w14:paraId="07C9F869" w14:textId="77777777" w:rsidR="00CE2B1D" w:rsidRDefault="00CE2B1D"/>
    <w:p w14:paraId="6E98F0B1" w14:textId="77777777" w:rsidR="00572729" w:rsidRDefault="00572729">
      <w:pPr>
        <w:pStyle w:val="Rubrik2"/>
      </w:pPr>
      <w:bookmarkStart w:id="11" w:name="_Toc271210048"/>
      <w:bookmarkStart w:id="12" w:name="_Toc271210090"/>
      <w:bookmarkStart w:id="13" w:name="_Toc405886394"/>
      <w:r>
        <w:t>2.2 Direkta och indirekta kostnader</w:t>
      </w:r>
      <w:bookmarkEnd w:id="11"/>
      <w:bookmarkEnd w:id="12"/>
      <w:bookmarkEnd w:id="13"/>
    </w:p>
    <w:p w14:paraId="7C5697EE" w14:textId="77777777" w:rsidR="00572729" w:rsidRDefault="00572729">
      <w:r>
        <w:t>En kostnadsbärare ska visa rättvisande intäkter och kostnader. Intäkter är lätt att hänföra till rätt kostnadsbärare då de i regel är projektrelaterade. Kostnaderna kan däremot bestå både av kärnverksamhetens direkta kostnader och av kostnader från stödverksamheten, som för kärnverksamheten är indirekta kostnader. Kostnaderna delas därför in i direkta respektive indirekta kostnader för kostnadsbäraren.</w:t>
      </w:r>
    </w:p>
    <w:p w14:paraId="210F7961" w14:textId="77777777" w:rsidR="00572729" w:rsidRDefault="00572729"/>
    <w:p w14:paraId="69B031B6" w14:textId="77777777" w:rsidR="00572729" w:rsidRDefault="00572729">
      <w:r w:rsidRPr="00936D04">
        <w:rPr>
          <w:i/>
        </w:rPr>
        <w:t>Direkta kostnader</w:t>
      </w:r>
      <w:r>
        <w:t xml:space="preserve"> är direkt hänförliga till en viss kostnadsbärare. Begreppet direkta uttrycker att kostnaderna har ett direkt samband och en exakt koppling till en särskild kostnadsbärare. De direkta kostnaderna kan debiteras direkt på kostnadsbäraren i redovisningen. Direkta kostnader är en hel kostnad för kostnadsbäraren eller kan med en naturlig delning/proportionering hänföras till rätt kostnadsbärare. Kostnader av helt slag är t ex resor och konferensavgifter medan löner kan behöva proportioneras (med hjälp av tidrapportering eller bemanningsplanering) för att kunna redovisas på rätt kostnadsbärare.</w:t>
      </w:r>
    </w:p>
    <w:p w14:paraId="27700B27" w14:textId="77777777" w:rsidR="00572729" w:rsidRDefault="00572729"/>
    <w:p w14:paraId="1068B090" w14:textId="46E77693" w:rsidR="00572729" w:rsidRPr="00936D04" w:rsidRDefault="00572729">
      <w:r w:rsidRPr="00936D04">
        <w:rPr>
          <w:i/>
        </w:rPr>
        <w:t>Indirekta kostnader</w:t>
      </w:r>
      <w:r>
        <w:t xml:space="preserve"> är gemensamma för alla eller flera kostnadsbärare. Kostnaderna kommer inte från kostnadsbärarens egen beslutade verksamhet utan från det indirekta nyttjandet av organisationens gemensamma resurser. Exempel är universitetsgemensamma kostnader, fakultetsgemensamma kostnader och institutionsgemensamma kostnader. De universitetsgemensamma och de fakultetsgemensamma kostnaderna är väl avgränsade organisatoriskt och redovisningstekniskt från kärnverksamhetens kostnader och är därmed enkla att klassificera. Det är vid institutionerna som huvuddelen av universitets kärnverksamhet med kostnadsbärarna finns och i nära anslutning till kostnadsbärarna finns de institutionsgemensamma kostnaderna. De kan därför vara mer komplicerade att klassificera, </w:t>
      </w:r>
      <w:r w:rsidR="00E437C2">
        <w:t xml:space="preserve">se </w:t>
      </w:r>
      <w:r w:rsidR="00374510">
        <w:rPr>
          <w:i/>
        </w:rPr>
        <w:t xml:space="preserve">Lathund för uppdelning av indirekta kostnader på huvudfunktioner </w:t>
      </w:r>
      <w:r w:rsidR="00374510" w:rsidRPr="00374510">
        <w:t>och</w:t>
      </w:r>
      <w:r w:rsidR="00374510">
        <w:rPr>
          <w:i/>
        </w:rPr>
        <w:t xml:space="preserve"> Lathund för OH-kostnader på institutionsnivå, </w:t>
      </w:r>
      <w:r w:rsidR="00722367">
        <w:t>e</w:t>
      </w:r>
      <w:r w:rsidR="00374510" w:rsidRPr="00374510">
        <w:t>konomihandboken</w:t>
      </w:r>
      <w:r w:rsidR="00556A11">
        <w:t xml:space="preserve">s </w:t>
      </w:r>
      <w:hyperlink r:id="rId11" w:history="1">
        <w:r w:rsidR="00556A11" w:rsidRPr="00556A11">
          <w:rPr>
            <w:rStyle w:val="Hyperlnk"/>
          </w:rPr>
          <w:t>kapitel 4</w:t>
        </w:r>
      </w:hyperlink>
      <w:r w:rsidR="00556A11">
        <w:t xml:space="preserve">, avsnit 4.5. </w:t>
      </w:r>
      <w:r w:rsidR="00936D04">
        <w:br/>
      </w:r>
      <w:r w:rsidR="00936D04">
        <w:br/>
        <w:t>Definition av indirekta kostnader:</w:t>
      </w:r>
    </w:p>
    <w:p w14:paraId="1B4A2C2D" w14:textId="77777777" w:rsidR="00936D04" w:rsidRDefault="00936D04"/>
    <w:p w14:paraId="078D861B" w14:textId="77777777" w:rsidR="00936D04" w:rsidRDefault="00936D04" w:rsidP="00936D04">
      <w:pPr>
        <w:numPr>
          <w:ilvl w:val="0"/>
          <w:numId w:val="9"/>
        </w:numPr>
      </w:pPr>
      <w:r w:rsidRPr="00854CA1">
        <w:t xml:space="preserve">Indirekta kostnader kännetecknas av att de inte </w:t>
      </w:r>
      <w:r>
        <w:t xml:space="preserve">utan svårighet </w:t>
      </w:r>
      <w:r w:rsidRPr="00854CA1">
        <w:t>kan redovisas direkt på en kostnadsbärar</w:t>
      </w:r>
      <w:r>
        <w:t>e (enhet), utan måste fördelas</w:t>
      </w:r>
      <w:r>
        <w:br/>
      </w:r>
    </w:p>
    <w:p w14:paraId="5B5E5F6C" w14:textId="77777777" w:rsidR="00936D04" w:rsidRDefault="00936D04" w:rsidP="00936D04">
      <w:pPr>
        <w:numPr>
          <w:ilvl w:val="0"/>
          <w:numId w:val="9"/>
        </w:numPr>
      </w:pPr>
      <w:r>
        <w:t>Indirekta kostnader</w:t>
      </w:r>
      <w:r w:rsidRPr="00854CA1">
        <w:t xml:space="preserve"> är gemensamma för alla eller flera kostnadsbärare (enheter) och fördelas med hjälp av </w:t>
      </w:r>
      <w:r>
        <w:t>en förutbestämd fördelningsbas</w:t>
      </w:r>
      <w:r>
        <w:br/>
      </w:r>
    </w:p>
    <w:p w14:paraId="4E7F931E" w14:textId="77777777" w:rsidR="00936D04" w:rsidRDefault="00936D04" w:rsidP="003B71A0">
      <w:pPr>
        <w:numPr>
          <w:ilvl w:val="0"/>
          <w:numId w:val="9"/>
        </w:numPr>
      </w:pPr>
      <w:r>
        <w:t>Indirekta kostnader</w:t>
      </w:r>
      <w:r w:rsidRPr="00854CA1">
        <w:t xml:space="preserve"> uppkommer inte direkt t</w:t>
      </w:r>
      <w:r>
        <w:t>ill följd av en viss aktivitet</w:t>
      </w:r>
      <w:r w:rsidR="003B71A0">
        <w:t xml:space="preserve">, utan </w:t>
      </w:r>
      <w:r w:rsidRPr="00854CA1">
        <w:t xml:space="preserve">hänför sig till en infrastruktur och till olika tjänster utan vilka den samlade </w:t>
      </w:r>
      <w:r>
        <w:t>verksamheten inte kan bedrivas</w:t>
      </w:r>
    </w:p>
    <w:p w14:paraId="0F3BBA6C" w14:textId="77777777" w:rsidR="00936D04" w:rsidRDefault="00936D04" w:rsidP="003B71A0"/>
    <w:p w14:paraId="016B7085" w14:textId="77777777" w:rsidR="00572729" w:rsidRDefault="00572729"/>
    <w:p w14:paraId="11C84309" w14:textId="77777777" w:rsidR="00572729" w:rsidRDefault="00572729">
      <w:pPr>
        <w:pStyle w:val="Rubrik2"/>
      </w:pPr>
      <w:bookmarkStart w:id="14" w:name="_Toc271210049"/>
      <w:bookmarkStart w:id="15" w:name="_Toc271210091"/>
      <w:bookmarkStart w:id="16" w:name="_Toc405886395"/>
      <w:r>
        <w:t>2.3 Strukturering i huvudfunktioner</w:t>
      </w:r>
      <w:bookmarkEnd w:id="14"/>
      <w:bookmarkEnd w:id="15"/>
      <w:bookmarkEnd w:id="16"/>
    </w:p>
    <w:p w14:paraId="4AC063E5" w14:textId="6343F4FF" w:rsidR="00572729" w:rsidRDefault="00572729">
      <w:r>
        <w:t>De gemensamma ko</w:t>
      </w:r>
      <w:r w:rsidR="00374510">
        <w:t>stnaderna ska struktureras i fem</w:t>
      </w:r>
      <w:r>
        <w:t xml:space="preserve"> huvudfunktioner för både universitets-, fakultets- och </w:t>
      </w:r>
      <w:r w:rsidRPr="005A173C">
        <w:t>institutionspåslagen</w:t>
      </w:r>
      <w:r w:rsidR="00E26F64" w:rsidRPr="00374510">
        <w:t xml:space="preserve">, se </w:t>
      </w:r>
      <w:r w:rsidR="00556A11">
        <w:rPr>
          <w:i/>
        </w:rPr>
        <w:t>Instruktion för uppdelning av</w:t>
      </w:r>
      <w:r w:rsidR="00E437C2" w:rsidRPr="00374510">
        <w:rPr>
          <w:i/>
        </w:rPr>
        <w:t xml:space="preserve"> huvudfunktioner</w:t>
      </w:r>
      <w:r w:rsidR="00556A11">
        <w:rPr>
          <w:i/>
        </w:rPr>
        <w:t xml:space="preserve"> vid SLU</w:t>
      </w:r>
      <w:r w:rsidR="00E437C2" w:rsidRPr="00374510">
        <w:rPr>
          <w:i/>
        </w:rPr>
        <w:t xml:space="preserve"> </w:t>
      </w:r>
      <w:r w:rsidR="00E437C2" w:rsidRPr="00374510">
        <w:t xml:space="preserve">i </w:t>
      </w:r>
      <w:r w:rsidR="00556A11">
        <w:t>e</w:t>
      </w:r>
      <w:r w:rsidR="00556A11" w:rsidRPr="00374510">
        <w:t>konomihandboken</w:t>
      </w:r>
      <w:r w:rsidR="00556A11">
        <w:t xml:space="preserve">s </w:t>
      </w:r>
      <w:hyperlink r:id="rId12" w:history="1">
        <w:r w:rsidR="00556A11" w:rsidRPr="00556A11">
          <w:rPr>
            <w:rStyle w:val="Hyperlnk"/>
          </w:rPr>
          <w:t>kapitel 4</w:t>
        </w:r>
      </w:hyperlink>
      <w:r w:rsidR="00556A11">
        <w:t>, avsnit 4.5.</w:t>
      </w:r>
      <w:r w:rsidRPr="00374510">
        <w:t>.</w:t>
      </w:r>
      <w:r w:rsidRPr="005A173C">
        <w:t xml:space="preserve"> Motivet</w:t>
      </w:r>
      <w:r>
        <w:t xml:space="preserve"> till indelningen i huvudfunktioner är att universitets- och högskolesektorn ska kunna visa en enhetlig precisering och struktur för gemensamma kostnader. </w:t>
      </w:r>
      <w:r w:rsidR="00EF07B1">
        <w:br/>
      </w:r>
      <w:r w:rsidR="00EF07B1">
        <w:br/>
      </w:r>
      <w:r>
        <w:t xml:space="preserve">De </w:t>
      </w:r>
      <w:r w:rsidR="00374510">
        <w:t>fem</w:t>
      </w:r>
      <w:r>
        <w:t xml:space="preserve"> huvudfunktionerna är:</w:t>
      </w:r>
    </w:p>
    <w:p w14:paraId="51C5334D" w14:textId="77777777" w:rsidR="00572729" w:rsidRDefault="00572729">
      <w:pPr>
        <w:ind w:left="360"/>
      </w:pPr>
    </w:p>
    <w:p w14:paraId="154DF0CF" w14:textId="77777777" w:rsidR="00572729" w:rsidRDefault="00572729">
      <w:pPr>
        <w:numPr>
          <w:ilvl w:val="0"/>
          <w:numId w:val="7"/>
        </w:numPr>
      </w:pPr>
      <w:r>
        <w:t>Ledning</w:t>
      </w:r>
    </w:p>
    <w:p w14:paraId="6A1BF4E3" w14:textId="77777777" w:rsidR="00572729" w:rsidRDefault="00572729">
      <w:pPr>
        <w:numPr>
          <w:ilvl w:val="0"/>
          <w:numId w:val="7"/>
        </w:numPr>
      </w:pPr>
      <w:r>
        <w:t>Utbildnings- och forskningsadministration</w:t>
      </w:r>
    </w:p>
    <w:p w14:paraId="4D8E9170" w14:textId="77777777" w:rsidR="00572729" w:rsidRDefault="00572729">
      <w:pPr>
        <w:numPr>
          <w:ilvl w:val="0"/>
          <w:numId w:val="7"/>
        </w:numPr>
      </w:pPr>
      <w:r>
        <w:t>Ekonomi- och personaladministration</w:t>
      </w:r>
    </w:p>
    <w:p w14:paraId="716E61E2" w14:textId="77777777" w:rsidR="00572729" w:rsidRDefault="00572729">
      <w:pPr>
        <w:numPr>
          <w:ilvl w:val="0"/>
          <w:numId w:val="7"/>
        </w:numPr>
      </w:pPr>
      <w:r>
        <w:t>Infrastruktur och service</w:t>
      </w:r>
    </w:p>
    <w:p w14:paraId="32AE0008" w14:textId="77777777" w:rsidR="00572729" w:rsidRDefault="00572729">
      <w:pPr>
        <w:numPr>
          <w:ilvl w:val="0"/>
          <w:numId w:val="7"/>
        </w:numPr>
      </w:pPr>
      <w:r>
        <w:t>Bibliotek</w:t>
      </w:r>
    </w:p>
    <w:p w14:paraId="43C6E2C9" w14:textId="77777777" w:rsidR="00572729" w:rsidRDefault="00572729"/>
    <w:p w14:paraId="3FF71435" w14:textId="5D7740D5" w:rsidR="00572729" w:rsidRDefault="007A3903">
      <w:r>
        <w:lastRenderedPageBreak/>
        <w:t>SLU:s</w:t>
      </w:r>
      <w:r w:rsidR="00572729">
        <w:t xml:space="preserve"> struktur översätts till mod</w:t>
      </w:r>
      <w:r w:rsidR="0065189E">
        <w:t xml:space="preserve">ellens struktur med hjälp </w:t>
      </w:r>
      <w:r w:rsidR="0065189E" w:rsidRPr="002C3BFF">
        <w:t xml:space="preserve">av den </w:t>
      </w:r>
      <w:r w:rsidR="00B71E0A" w:rsidRPr="00374510">
        <w:t xml:space="preserve">OH-kalkyl </w:t>
      </w:r>
      <w:r w:rsidR="0065189E" w:rsidRPr="00374510">
        <w:t>s</w:t>
      </w:r>
      <w:r w:rsidR="0065189E" w:rsidRPr="002C3BFF">
        <w:t>om används vid budgetarbetet</w:t>
      </w:r>
      <w:r w:rsidR="00572729" w:rsidRPr="002C3BFF">
        <w:t>.</w:t>
      </w:r>
      <w:r w:rsidR="00572729" w:rsidRPr="005A173C">
        <w:t xml:space="preserve"> Det</w:t>
      </w:r>
      <w:r w:rsidR="00572729">
        <w:t xml:space="preserve"> b</w:t>
      </w:r>
      <w:r w:rsidR="006740AA">
        <w:t xml:space="preserve">etyder att SLU inte ska/behöver </w:t>
      </w:r>
      <w:r w:rsidR="00572729">
        <w:t xml:space="preserve">organisera </w:t>
      </w:r>
      <w:r w:rsidR="00DB7887">
        <w:t xml:space="preserve">och bokföra kostnaderna för </w:t>
      </w:r>
      <w:r w:rsidR="00572729">
        <w:t>stödverksamheten</w:t>
      </w:r>
      <w:r w:rsidR="00DB7887">
        <w:t xml:space="preserve"> </w:t>
      </w:r>
      <w:r w:rsidR="00572729">
        <w:t>i enlighet med funktionerna.</w:t>
      </w:r>
    </w:p>
    <w:p w14:paraId="04CF1145" w14:textId="77777777" w:rsidR="00572729" w:rsidRDefault="00572729"/>
    <w:p w14:paraId="16D639A5" w14:textId="1CAF7C3E" w:rsidR="00572729" w:rsidRDefault="00572729">
      <w:r>
        <w:t xml:space="preserve">Vid strukturering av </w:t>
      </w:r>
      <w:r w:rsidR="00FE4CFE" w:rsidRPr="00374510">
        <w:t>stödverksamhetens (gemensamma)</w:t>
      </w:r>
      <w:r>
        <w:t xml:space="preserve"> kostnader i funktioner är utgångspunkten att en funktion ska bestå av totalkostnaderna – de samlade kostnadsslagen för funktionen i fråga. Exempelvis ingår i funktionen ekonomi- och personaladministration kostnaderna för ekonomi- och personalhandläggare samt ekonomi- och personalchef och deras löner och sociala avgifter, förbrukningsmaterial, resor, konferenser, litteratur, konsulttjänster, systemkostnader, avskrivningar, lokaler etc. </w:t>
      </w:r>
    </w:p>
    <w:p w14:paraId="336E1D8C" w14:textId="77777777" w:rsidR="00572729" w:rsidRDefault="00572729"/>
    <w:p w14:paraId="22705CF4" w14:textId="77777777" w:rsidR="00572729" w:rsidRDefault="00572729">
      <w:r>
        <w:t>Inom funktionerna kan det förekomma extern-/anslagsfinansierad verksamhet och försäljning av varor/tjänster. Intäkterna och motsvarande kostnader för denna kärnverksamhet ska elimineras från de ordinarie funktionskostnaderna, så att de gemensamma kostnaderna inom varje funktion återspeglar stödverksamheten som ska finansieras av kärnverksamheten</w:t>
      </w:r>
      <w:r w:rsidR="00492A4C">
        <w:t xml:space="preserve"> via påslag</w:t>
      </w:r>
      <w:r>
        <w:t>.</w:t>
      </w:r>
    </w:p>
    <w:p w14:paraId="4BAAAEFE" w14:textId="77777777" w:rsidR="00572729" w:rsidRDefault="00572729"/>
    <w:p w14:paraId="6E082282" w14:textId="6542D2CB" w:rsidR="00572729" w:rsidRDefault="00572729">
      <w:pPr>
        <w:pStyle w:val="Rubrik2"/>
      </w:pPr>
      <w:bookmarkStart w:id="17" w:name="_Toc405886396"/>
      <w:bookmarkStart w:id="18" w:name="_Toc271210050"/>
      <w:bookmarkStart w:id="19" w:name="_Toc271210092"/>
      <w:r>
        <w:t xml:space="preserve">2.4 </w:t>
      </w:r>
      <w:r w:rsidR="006740AA">
        <w:t>Redovisningsområden</w:t>
      </w:r>
      <w:bookmarkEnd w:id="17"/>
      <w:r w:rsidR="006740AA">
        <w:t xml:space="preserve"> </w:t>
      </w:r>
      <w:bookmarkEnd w:id="18"/>
      <w:bookmarkEnd w:id="19"/>
    </w:p>
    <w:p w14:paraId="4920C611" w14:textId="77777777" w:rsidR="00572729" w:rsidRPr="00E81BAA" w:rsidRDefault="00572729">
      <w:r w:rsidRPr="00E81BAA">
        <w:t xml:space="preserve">Stödverksamheten ska även fördelas på </w:t>
      </w:r>
      <w:r w:rsidR="006740AA">
        <w:t>redovisningsområden</w:t>
      </w:r>
      <w:r w:rsidRPr="00E81BAA">
        <w:t xml:space="preserve">. SLU har tre </w:t>
      </w:r>
      <w:r w:rsidR="006740AA">
        <w:t>redovisningsområden</w:t>
      </w:r>
      <w:r w:rsidRPr="00E81BAA">
        <w:t>:</w:t>
      </w:r>
    </w:p>
    <w:p w14:paraId="095B6926" w14:textId="77777777" w:rsidR="00572729" w:rsidRPr="00E81BAA" w:rsidRDefault="00572729"/>
    <w:p w14:paraId="12DD8AA8" w14:textId="77777777" w:rsidR="00572729" w:rsidRPr="00E81BAA" w:rsidRDefault="00572729">
      <w:pPr>
        <w:numPr>
          <w:ilvl w:val="0"/>
          <w:numId w:val="8"/>
        </w:numPr>
      </w:pPr>
      <w:r w:rsidRPr="00E81BAA">
        <w:t>Grundläggande högskoleutbildning</w:t>
      </w:r>
      <w:r w:rsidR="00E81BAA" w:rsidRPr="00E81BAA">
        <w:t xml:space="preserve"> (GU)</w:t>
      </w:r>
    </w:p>
    <w:p w14:paraId="581D1D2E" w14:textId="77777777" w:rsidR="00572729" w:rsidRPr="00E81BAA" w:rsidRDefault="00572729">
      <w:pPr>
        <w:numPr>
          <w:ilvl w:val="0"/>
          <w:numId w:val="8"/>
        </w:numPr>
      </w:pPr>
      <w:r w:rsidRPr="00E81BAA">
        <w:t>Forskning och forskarutbildning</w:t>
      </w:r>
      <w:r w:rsidR="00E81BAA" w:rsidRPr="00E81BAA">
        <w:t xml:space="preserve"> (FO)</w:t>
      </w:r>
    </w:p>
    <w:p w14:paraId="6FF558DB" w14:textId="2E9F6A51" w:rsidR="00572729" w:rsidRPr="00E81BAA" w:rsidRDefault="00572729">
      <w:pPr>
        <w:numPr>
          <w:ilvl w:val="0"/>
          <w:numId w:val="8"/>
        </w:numPr>
      </w:pPr>
      <w:r w:rsidRPr="00E81BAA">
        <w:t>Fortlöpande miljöanalys</w:t>
      </w:r>
      <w:r w:rsidR="00FE4CFE">
        <w:t xml:space="preserve"> (Foma</w:t>
      </w:r>
      <w:r w:rsidR="00E81BAA" w:rsidRPr="00E81BAA">
        <w:t>)</w:t>
      </w:r>
    </w:p>
    <w:p w14:paraId="325EC005" w14:textId="77777777" w:rsidR="00572729" w:rsidRPr="00E81BAA" w:rsidRDefault="00572729"/>
    <w:p w14:paraId="77F96065" w14:textId="6A17589D" w:rsidR="00572729" w:rsidRPr="00E81BAA" w:rsidRDefault="00E81BAA">
      <w:r w:rsidRPr="00E81BAA">
        <w:t xml:space="preserve">Denna uppdelning görs i </w:t>
      </w:r>
      <w:r w:rsidRPr="00374510">
        <w:t xml:space="preserve">samma </w:t>
      </w:r>
      <w:r w:rsidR="00B71E0A" w:rsidRPr="00374510">
        <w:t>OH-</w:t>
      </w:r>
      <w:r w:rsidRPr="00374510">
        <w:t>kalkyl som uppdelningen</w:t>
      </w:r>
      <w:r w:rsidRPr="00E81BAA">
        <w:t xml:space="preserve"> på de sex huvudfunktionerna. SLU anser det inte meningsfullt att försöka dela upp ind</w:t>
      </w:r>
      <w:r w:rsidR="00FE4CFE">
        <w:t>irekta kostnader för FO och Foma</w:t>
      </w:r>
      <w:r>
        <w:t>,</w:t>
      </w:r>
      <w:r w:rsidRPr="00E81BAA">
        <w:t xml:space="preserve"> utan dessa kostnader slås samman i kalkylen</w:t>
      </w:r>
      <w:r w:rsidR="00FE4CFE">
        <w:t xml:space="preserve"> (FO/Foma</w:t>
      </w:r>
      <w:r w:rsidR="00492A4C">
        <w:t>)</w:t>
      </w:r>
      <w:r w:rsidRPr="00E81BAA">
        <w:t>.</w:t>
      </w:r>
    </w:p>
    <w:p w14:paraId="34F40811" w14:textId="77777777" w:rsidR="00E81BAA" w:rsidRPr="00E81BAA" w:rsidRDefault="00E81BAA"/>
    <w:p w14:paraId="10E633F1" w14:textId="50EB1029" w:rsidR="00572729" w:rsidRDefault="00572729">
      <w:r w:rsidRPr="00E81BAA">
        <w:t xml:space="preserve">Till hjälp vid uppdelningen på </w:t>
      </w:r>
      <w:r w:rsidR="006740AA">
        <w:t>redovisningsområden</w:t>
      </w:r>
      <w:r w:rsidRPr="00E81BAA">
        <w:t xml:space="preserve"> kan en schablon användas. Schablonen ska användas där uppdelningen inte är självklar och svår att göra. Den rekommenderade schablonen är direkta löner per </w:t>
      </w:r>
      <w:r w:rsidR="006740AA">
        <w:t>redovisningsområde</w:t>
      </w:r>
      <w:r w:rsidR="007C14F8">
        <w:t xml:space="preserve">. </w:t>
      </w:r>
      <w:r w:rsidRPr="00E81BAA">
        <w:t>Vid användandet av schabloner är det viktigt att tänka på hur rättvisande uppdelningen</w:t>
      </w:r>
      <w:r>
        <w:t xml:space="preserve"> blir. Blir uppdelningen mer rättvisande utan schabloner ska inte schablonen användas.</w:t>
      </w:r>
    </w:p>
    <w:p w14:paraId="6A636E21" w14:textId="77777777" w:rsidR="00572729" w:rsidRDefault="00572729"/>
    <w:p w14:paraId="0384D011" w14:textId="77777777" w:rsidR="00572729" w:rsidRDefault="00572729">
      <w:pPr>
        <w:pStyle w:val="Rubrik2"/>
      </w:pPr>
      <w:bookmarkStart w:id="20" w:name="_Toc271210051"/>
      <w:bookmarkStart w:id="21" w:name="_Toc271210093"/>
      <w:bookmarkStart w:id="22" w:name="_Toc405886397"/>
      <w:r>
        <w:t>2.5 Lönebaserad fördelning</w:t>
      </w:r>
      <w:bookmarkEnd w:id="20"/>
      <w:bookmarkEnd w:id="21"/>
      <w:bookmarkEnd w:id="22"/>
    </w:p>
    <w:p w14:paraId="145CA0EB" w14:textId="2BC47E05" w:rsidR="007B0EBE" w:rsidRPr="00EB557B" w:rsidRDefault="00572729">
      <w:r>
        <w:t xml:space="preserve">Vid kalkylering ska full kostnadstäckning eftersträvas. Det betyder att alla kostnadsbärare tillsammans ska finansiera de gemensamma kostnaderna, alltså bära sina kostnadsandelar. De gemensamma kostnaderna på de olika fördelningsnivåerna ska därför fördelas på kostnadsbärarna vid institutionerna. Fördelningen görs med en fördelningsbas och SLU använder direkta lönekostnader som bas. Det är enligt </w:t>
      </w:r>
      <w:r w:rsidR="007A3903">
        <w:t>SUHF:s</w:t>
      </w:r>
      <w:r w:rsidR="00E81BAA">
        <w:t xml:space="preserve"> grundmodell</w:t>
      </w:r>
      <w:r>
        <w:t xml:space="preserve"> och det är den bas SLU använder sig av sedan tidigare. Den är enkel att beräkna, fördela, redovisa och förutsäga.</w:t>
      </w:r>
      <w:r w:rsidR="007C14F8">
        <w:t xml:space="preserve"> </w:t>
      </w:r>
      <w:r w:rsidR="007C14F8" w:rsidRPr="00EB557B">
        <w:t xml:space="preserve">Fördelningsbas för </w:t>
      </w:r>
      <w:r w:rsidR="00355FA3" w:rsidRPr="00EB557B">
        <w:t>institutionspåslaget är</w:t>
      </w:r>
      <w:r w:rsidR="007C14F8" w:rsidRPr="00EB557B">
        <w:t xml:space="preserve"> fr.o.m. budgetår 2015 de direkta löner</w:t>
      </w:r>
      <w:r w:rsidR="007B0EBE" w:rsidRPr="00EB557B">
        <w:t>na</w:t>
      </w:r>
      <w:r w:rsidR="007C14F8" w:rsidRPr="00EB557B">
        <w:t xml:space="preserve"> per redovisningsområde på institutionen, medan fakultetspåslaget och bibliotekspåslaget räknas på direkta löner för alla </w:t>
      </w:r>
      <w:r w:rsidR="007B0EBE" w:rsidRPr="00EB557B">
        <w:t>institutioner</w:t>
      </w:r>
      <w:r w:rsidR="007C14F8" w:rsidRPr="00EB557B">
        <w:t>/motsvarande som organisatoriskt tillhör någon fakultet.</w:t>
      </w:r>
      <w:r w:rsidR="007C14F8" w:rsidRPr="00E81BAA">
        <w:t xml:space="preserve"> </w:t>
      </w:r>
      <w:r w:rsidR="007C14F8" w:rsidRPr="00EB557B">
        <w:t xml:space="preserve">På institutionsnivån och fakultetsnivån ska stödverksamhetens löner räknas bort. På central nivå är det </w:t>
      </w:r>
      <w:r w:rsidR="007B0EBE" w:rsidRPr="00EB557B">
        <w:t xml:space="preserve">de </w:t>
      </w:r>
      <w:r w:rsidR="007C14F8" w:rsidRPr="00EB557B">
        <w:t xml:space="preserve">direkta </w:t>
      </w:r>
      <w:r w:rsidR="007B0EBE" w:rsidRPr="00EB557B">
        <w:t>lönerna</w:t>
      </w:r>
      <w:r w:rsidR="007C14F8" w:rsidRPr="00EB557B">
        <w:t xml:space="preserve"> per redovisningsområde på hela universitetet bortsett</w:t>
      </w:r>
      <w:r w:rsidR="007C14F8" w:rsidRPr="00364472">
        <w:rPr>
          <w:color w:val="00B0F0"/>
        </w:rPr>
        <w:t xml:space="preserve"> </w:t>
      </w:r>
      <w:r w:rsidR="007C14F8" w:rsidRPr="00EB557B">
        <w:lastRenderedPageBreak/>
        <w:t>från de mer renodlade stödverksamheterna, universitetsadministrationen och biblioteket</w:t>
      </w:r>
      <w:r w:rsidR="007B0EBE" w:rsidRPr="00EB557B">
        <w:t xml:space="preserve"> som ska räknas bort.</w:t>
      </w:r>
    </w:p>
    <w:p w14:paraId="143EFFFD" w14:textId="5B4CC8E9" w:rsidR="00637554" w:rsidRDefault="00637554"/>
    <w:p w14:paraId="43922B44" w14:textId="4FEF4555" w:rsidR="00572729" w:rsidRDefault="00572729">
      <w:r>
        <w:t xml:space="preserve">Det finns även nackdelar med direkta lönekostnader som bas. </w:t>
      </w:r>
      <w:r w:rsidR="005E013D">
        <w:t xml:space="preserve">Exempelvis ligger </w:t>
      </w:r>
      <w:r w:rsidR="00FA5684">
        <w:t>k</w:t>
      </w:r>
      <w:r>
        <w:t xml:space="preserve">onsulttjänster och stipendier utanför fördelningsunderlaget. Detta kan skapa vissa orättvisor, men för den interna styrningen och för att modellen ska vara så enkel som möjligt </w:t>
      </w:r>
      <w:r w:rsidR="00452F33">
        <w:t>måste</w:t>
      </w:r>
      <w:r w:rsidR="003D4DCD">
        <w:t xml:space="preserve"> alla använd</w:t>
      </w:r>
      <w:r w:rsidR="00452F33">
        <w:t>a</w:t>
      </w:r>
      <w:r>
        <w:t xml:space="preserve"> samma fördelningsbas.</w:t>
      </w:r>
    </w:p>
    <w:p w14:paraId="1641A235" w14:textId="2E764988" w:rsidR="007667E4" w:rsidRDefault="007667E4"/>
    <w:p w14:paraId="7741B2D3" w14:textId="3E374548" w:rsidR="007667E4" w:rsidRDefault="007667E4" w:rsidP="007667E4">
      <w:pPr>
        <w:pStyle w:val="Rubrik2"/>
      </w:pPr>
      <w:bookmarkStart w:id="23" w:name="_Toc405886398"/>
      <w:r>
        <w:t xml:space="preserve">2.6 </w:t>
      </w:r>
      <w:r w:rsidR="00F821AC">
        <w:t>Fördelning med f</w:t>
      </w:r>
      <w:r>
        <w:t>asta belopp</w:t>
      </w:r>
      <w:bookmarkEnd w:id="23"/>
    </w:p>
    <w:p w14:paraId="23F99774" w14:textId="02C5C19A" w:rsidR="00CA7148" w:rsidRDefault="00CA7148"/>
    <w:p w14:paraId="36E739E3" w14:textId="378A0480" w:rsidR="005D0077" w:rsidRPr="00EB557B" w:rsidRDefault="00CA7148">
      <w:r w:rsidRPr="00EB557B">
        <w:t xml:space="preserve">Huvuddelen av kostnaderna för </w:t>
      </w:r>
      <w:r w:rsidR="005D0077" w:rsidRPr="00EB557B">
        <w:t>universitets- och fakultets</w:t>
      </w:r>
      <w:r w:rsidRPr="00EB557B">
        <w:t>gemensamma stödet fördelas baserat på direkta lönekostnader som i de flesta fall bedöms vara en tillräckligt rättvis fördelningsnyckel som samtidigt är tydlig och enkel. För vissa stödverksamheter bedöms dock andra parameter vara kostnadsdrivande.</w:t>
      </w:r>
      <w:r w:rsidR="007667E4" w:rsidRPr="00EB557B">
        <w:t xml:space="preserve"> </w:t>
      </w:r>
      <w:r w:rsidR="005D0077" w:rsidRPr="00EB557B">
        <w:t>Studentvolymen bedöms vara kostnadsdrivande för stora delar av de studieadministrativa kostnaderna samt bibiliotekskostnader kopplade till grundutbildningen</w:t>
      </w:r>
      <w:r w:rsidR="00B85FDA" w:rsidRPr="00EB557B">
        <w:t>,</w:t>
      </w:r>
      <w:r w:rsidR="005D0077" w:rsidRPr="00EB557B">
        <w:t xml:space="preserve"> därför fördelas dessa till institutionerna baserat på planerat antal helårsstudenter.</w:t>
      </w:r>
    </w:p>
    <w:p w14:paraId="47DF0711" w14:textId="77777777" w:rsidR="005D0077" w:rsidRPr="00EB557B" w:rsidRDefault="005D0077"/>
    <w:p w14:paraId="5AE79ED9" w14:textId="58E2C983" w:rsidR="00CA7148" w:rsidRPr="00EB557B" w:rsidRDefault="007667E4">
      <w:pPr>
        <w:rPr>
          <w:b/>
          <w:i/>
        </w:rPr>
      </w:pPr>
      <w:r w:rsidRPr="00EB557B">
        <w:t xml:space="preserve">Kostnader för stöd som fördelas till institution/motsvarande baserat på studentvolym hanteras med ett årligt fast belopp. </w:t>
      </w:r>
      <w:r w:rsidRPr="00EB557B">
        <w:rPr>
          <w:b/>
          <w:i/>
        </w:rPr>
        <w:t>Institutionerna får varje år ett fast belopp som täcks med statsanslag inom grundu</w:t>
      </w:r>
      <w:r w:rsidR="00DA3021" w:rsidRPr="00EB557B">
        <w:rPr>
          <w:b/>
          <w:i/>
        </w:rPr>
        <w:t>tbildningen på institutionsnivå</w:t>
      </w:r>
      <w:r w:rsidRPr="00EB557B">
        <w:rPr>
          <w:b/>
          <w:i/>
          <w:color w:val="00B0F0"/>
        </w:rPr>
        <w:t>.</w:t>
      </w:r>
    </w:p>
    <w:p w14:paraId="5992B0E2" w14:textId="77777777" w:rsidR="00572729" w:rsidRDefault="00572729"/>
    <w:p w14:paraId="6B98BE7E" w14:textId="4D2701A7" w:rsidR="00572729" w:rsidRDefault="00572729">
      <w:pPr>
        <w:pStyle w:val="Rubrik2"/>
      </w:pPr>
      <w:bookmarkStart w:id="24" w:name="_Toc271210052"/>
      <w:bookmarkStart w:id="25" w:name="_Toc271210094"/>
      <w:bookmarkStart w:id="26" w:name="_Toc405886399"/>
      <w:r>
        <w:t>2.</w:t>
      </w:r>
      <w:r w:rsidR="007667E4">
        <w:t>7</w:t>
      </w:r>
      <w:r>
        <w:t xml:space="preserve"> Procentuella </w:t>
      </w:r>
      <w:r w:rsidR="00600C8F">
        <w:t>påslag</w:t>
      </w:r>
      <w:bookmarkEnd w:id="24"/>
      <w:bookmarkEnd w:id="25"/>
      <w:bookmarkEnd w:id="26"/>
    </w:p>
    <w:p w14:paraId="5DD0D34B" w14:textId="6FE3E3E0" w:rsidR="00494CE6" w:rsidRDefault="00494CE6" w:rsidP="00494CE6">
      <w:r w:rsidRPr="0093148F">
        <w:t>Vid fördelning av de gemensamma kostnaderna använder SLU procentuella på</w:t>
      </w:r>
      <w:r w:rsidR="00600C8F">
        <w:t>slag</w:t>
      </w:r>
      <w:r w:rsidRPr="0093148F">
        <w:t xml:space="preserve"> från respektive fördelningsnivå</w:t>
      </w:r>
      <w:r>
        <w:t xml:space="preserve"> med direkta löner som fördelningsbas</w:t>
      </w:r>
      <w:r w:rsidRPr="00355FA3">
        <w:rPr>
          <w:color w:val="00B0F0"/>
        </w:rPr>
        <w:t xml:space="preserve">. </w:t>
      </w:r>
      <w:r w:rsidRPr="00EB557B">
        <w:t>På</w:t>
      </w:r>
      <w:r w:rsidR="00600C8F" w:rsidRPr="00EB557B">
        <w:t>slagen</w:t>
      </w:r>
      <w:r w:rsidRPr="00EB557B">
        <w:t xml:space="preserve"> debiteras kostnadsbärarna direkt </w:t>
      </w:r>
      <w:r w:rsidR="00B14132" w:rsidRPr="00EB557B">
        <w:t xml:space="preserve">varje månad med hjälp av en trigger </w:t>
      </w:r>
      <w:r w:rsidR="00B14132">
        <w:t xml:space="preserve">(automatisk bokföring i </w:t>
      </w:r>
      <w:r w:rsidR="005E013D">
        <w:t xml:space="preserve">ekonomisystemet </w:t>
      </w:r>
      <w:r w:rsidR="00F90A92">
        <w:t>UBW</w:t>
      </w:r>
      <w:r w:rsidR="00B14132">
        <w:t>)</w:t>
      </w:r>
      <w:r>
        <w:t xml:space="preserve">. </w:t>
      </w:r>
      <w:r w:rsidR="002C11B3">
        <w:t xml:space="preserve">För externfinansierade </w:t>
      </w:r>
      <w:r w:rsidR="00C42EE3">
        <w:t>bidrags</w:t>
      </w:r>
      <w:r w:rsidR="002C11B3">
        <w:t>projekt med kontrakt sker det i två steg, så att avstämning görs på enhetsnivån</w:t>
      </w:r>
      <w:r w:rsidR="002C11B3" w:rsidRPr="00374510">
        <w:t xml:space="preserve">. Läs mer om </w:t>
      </w:r>
      <w:r w:rsidR="00885C0F" w:rsidRPr="00374510">
        <w:rPr>
          <w:i/>
        </w:rPr>
        <w:t>Bokföring av påslag för gemensamma kostnader</w:t>
      </w:r>
      <w:r w:rsidR="002C11B3" w:rsidRPr="00374510">
        <w:t xml:space="preserve"> i ekonomihandboken</w:t>
      </w:r>
      <w:r w:rsidR="00556A11">
        <w:t xml:space="preserve">s </w:t>
      </w:r>
      <w:hyperlink r:id="rId13" w:history="1">
        <w:r w:rsidR="00556A11" w:rsidRPr="00556A11">
          <w:rPr>
            <w:rStyle w:val="Hyperlnk"/>
          </w:rPr>
          <w:t>kapitel 5</w:t>
        </w:r>
      </w:hyperlink>
      <w:r w:rsidR="00556A11">
        <w:t>, avsnitt 5.2.8</w:t>
      </w:r>
      <w:r w:rsidR="002C11B3" w:rsidRPr="00374510">
        <w:t xml:space="preserve">, där det även finns </w:t>
      </w:r>
      <w:r w:rsidR="00911863" w:rsidRPr="00374510">
        <w:t>kontering</w:t>
      </w:r>
      <w:r w:rsidR="002C11B3" w:rsidRPr="00374510">
        <w:t>sexempel.</w:t>
      </w:r>
      <w:r w:rsidR="002C11B3">
        <w:t xml:space="preserve"> </w:t>
      </w:r>
    </w:p>
    <w:p w14:paraId="2AEE06AE" w14:textId="77777777" w:rsidR="00355FA3" w:rsidRDefault="00355FA3">
      <w:pPr>
        <w:rPr>
          <w:color w:val="00B0F0"/>
        </w:rPr>
      </w:pPr>
    </w:p>
    <w:p w14:paraId="2F46D743" w14:textId="42CFE9AB" w:rsidR="00494CE6" w:rsidRPr="00EB557B" w:rsidRDefault="00637554">
      <w:r w:rsidRPr="00EB557B">
        <w:t>Beräkningen av påslag görs i det årliga budg</w:t>
      </w:r>
      <w:bookmarkStart w:id="27" w:name="_GoBack"/>
      <w:bookmarkEnd w:id="27"/>
      <w:r w:rsidRPr="00EB557B">
        <w:t>etarbetet. Först beräknar den centrala nivån det procentuella påslaget för universitetsgemensamma kostnader. De universitetsgemensamma kostnaderna delas upp på redovisningsområden och därefter beräknas fördelningsbaserna för respektive redovisningsområde, som enligt modellen är direkta lönekostnader</w:t>
      </w:r>
      <w:r w:rsidR="00C63628" w:rsidRPr="00EB557B">
        <w:t>. Universitetspåslag betalas av hela universitet bortsett från de mer renodlade stödverksamheterna, universitetsadministration och biblioteket.</w:t>
      </w:r>
    </w:p>
    <w:p w14:paraId="23988E1C" w14:textId="77777777" w:rsidR="00355FA3" w:rsidRPr="00EB557B" w:rsidRDefault="00355FA3"/>
    <w:p w14:paraId="621B870E" w14:textId="1DDA1DD8" w:rsidR="00384A10" w:rsidRPr="00EB557B" w:rsidRDefault="000162F1">
      <w:r w:rsidRPr="00EB557B">
        <w:t xml:space="preserve">Fr.o.m. år 2015 är fakultetspåslag harmoniserat, </w:t>
      </w:r>
      <w:r w:rsidR="00DA3021" w:rsidRPr="00EB557B">
        <w:t>dvs.</w:t>
      </w:r>
      <w:r w:rsidRPr="00EB557B">
        <w:t xml:space="preserve"> alla institutioner/motsvarande oavsett organisatorisk tillhörighet kommer att betala samma procentuella påslag för fakultetsgemensamma kostnader. Fakulteterna ska inte ha egna fakultetsspecifika påslag för gemensamma kostnader. De procentuella påslagen beräknas var för sig för redovisningsområdena. Påslagen betalas av alla institutionerna/motsvarande som organisatoriskt tillhör någon fakultet.</w:t>
      </w:r>
    </w:p>
    <w:p w14:paraId="27AB959B" w14:textId="77777777" w:rsidR="000162F1" w:rsidRPr="00EB557B" w:rsidRDefault="000162F1"/>
    <w:p w14:paraId="674D01D0" w14:textId="7A0EFAB5" w:rsidR="000162F1" w:rsidRPr="00EB557B" w:rsidRDefault="00DA3021">
      <w:r w:rsidRPr="00EB557B">
        <w:t>Fr.o.m.</w:t>
      </w:r>
      <w:r w:rsidR="000162F1" w:rsidRPr="00EB557B">
        <w:t xml:space="preserve"> år 2015 finansieras </w:t>
      </w:r>
      <w:r w:rsidR="00C63628" w:rsidRPr="00EB557B">
        <w:t>bibliotekskostnader</w:t>
      </w:r>
      <w:r w:rsidR="000162F1" w:rsidRPr="00EB557B">
        <w:t xml:space="preserve"> av </w:t>
      </w:r>
      <w:r w:rsidR="00C63628" w:rsidRPr="00EB557B">
        <w:t>procentuellt påslag. Fördelningsbas är lika med fördelningsbas för fakultetspåslag. Endast bibliotekskostnader relaterade till</w:t>
      </w:r>
      <w:r w:rsidR="00C63628">
        <w:rPr>
          <w:color w:val="00B0F0"/>
        </w:rPr>
        <w:t xml:space="preserve"> </w:t>
      </w:r>
      <w:r w:rsidR="00C63628" w:rsidRPr="00EB557B">
        <w:t>forskning/Foma finansieras av procentuella påslag, kostnader relaterade till grundutbildning finansieras med ett fast belopp (se ovan).</w:t>
      </w:r>
    </w:p>
    <w:p w14:paraId="652AA0C6" w14:textId="77777777" w:rsidR="00C63628" w:rsidRPr="00EB557B" w:rsidRDefault="00C63628"/>
    <w:p w14:paraId="18D7AC4B" w14:textId="77777777" w:rsidR="00572729" w:rsidRPr="00EB557B" w:rsidRDefault="00572729"/>
    <w:p w14:paraId="24F98560" w14:textId="79B10D99" w:rsidR="00AF4522" w:rsidRPr="00EB557B" w:rsidRDefault="00572729" w:rsidP="00AF4522">
      <w:r w:rsidRPr="00EB557B">
        <w:t xml:space="preserve">Institutionerna beräknar dels sina direkta kostnader och dels sina institutionsgemensamma kostnader uppdelade på </w:t>
      </w:r>
      <w:r w:rsidR="00F25DA8" w:rsidRPr="00EB557B">
        <w:t>redovisningsområden</w:t>
      </w:r>
      <w:r w:rsidR="00696BEB" w:rsidRPr="00EB557B">
        <w:t>. I</w:t>
      </w:r>
      <w:r w:rsidRPr="00EB557B">
        <w:t>nstitutionerna beräkna</w:t>
      </w:r>
      <w:r w:rsidR="00696BEB" w:rsidRPr="00EB557B">
        <w:t>r</w:t>
      </w:r>
      <w:r w:rsidRPr="00EB557B">
        <w:t xml:space="preserve"> det procentuella </w:t>
      </w:r>
      <w:r w:rsidR="00600C8F" w:rsidRPr="00EB557B">
        <w:t>påslag</w:t>
      </w:r>
      <w:r w:rsidRPr="00EB557B">
        <w:t xml:space="preserve">et för institutionsgemensamma kostnader </w:t>
      </w:r>
      <w:r w:rsidR="00B71E0A" w:rsidRPr="00EB557B">
        <w:t xml:space="preserve">med hjälp av OH-kalkylen och </w:t>
      </w:r>
      <w:r w:rsidRPr="00EB557B">
        <w:t>med utgångspunkt från institutionens budget och fördelningsbasen. Procentuella institutions</w:t>
      </w:r>
      <w:r w:rsidR="00600C8F" w:rsidRPr="00EB557B">
        <w:t>påslag</w:t>
      </w:r>
      <w:r w:rsidRPr="00EB557B">
        <w:t xml:space="preserve"> beräknas för </w:t>
      </w:r>
      <w:r w:rsidR="00F25DA8" w:rsidRPr="00EB557B">
        <w:t>redovisningsområdena</w:t>
      </w:r>
      <w:r w:rsidRPr="00EB557B">
        <w:t xml:space="preserve"> var för sig.</w:t>
      </w:r>
      <w:r w:rsidR="00696BEB" w:rsidRPr="00EB557B">
        <w:t xml:space="preserve"> </w:t>
      </w:r>
    </w:p>
    <w:p w14:paraId="137E7C55" w14:textId="77777777" w:rsidR="0009717C" w:rsidRPr="00895A8A" w:rsidRDefault="0009717C" w:rsidP="00AF4522">
      <w:pPr>
        <w:rPr>
          <w:color w:val="FF0000"/>
        </w:rPr>
      </w:pPr>
    </w:p>
    <w:p w14:paraId="718AF5EC" w14:textId="6408E6D8" w:rsidR="001329C5" w:rsidRDefault="001329C5" w:rsidP="002C3BFF">
      <w:pPr>
        <w:pStyle w:val="Rubrik2"/>
      </w:pPr>
      <w:bookmarkStart w:id="28" w:name="_Toc271210053"/>
      <w:bookmarkStart w:id="29" w:name="_Toc271210095"/>
      <w:bookmarkStart w:id="30" w:name="_Toc405886400"/>
      <w:r>
        <w:t>2.</w:t>
      </w:r>
      <w:r w:rsidR="007667E4">
        <w:t>8</w:t>
      </w:r>
      <w:r>
        <w:t xml:space="preserve"> Core facilities</w:t>
      </w:r>
      <w:bookmarkEnd w:id="28"/>
      <w:bookmarkEnd w:id="29"/>
      <w:bookmarkEnd w:id="30"/>
    </w:p>
    <w:p w14:paraId="7B094934" w14:textId="784E1EB1" w:rsidR="001329C5" w:rsidRPr="00EB557B" w:rsidRDefault="001329C5" w:rsidP="001329C5">
      <w:r w:rsidRPr="00EB557B">
        <w:t>En Core Facility är en för kärnverksamheten gemensam anläggning som av SLU anse</w:t>
      </w:r>
      <w:r w:rsidR="0032290B" w:rsidRPr="00EB557B">
        <w:t>s vara av strategisk betydelse. Det kan till exempel vara</w:t>
      </w:r>
      <w:r w:rsidRPr="00EB557B">
        <w:t xml:space="preserve"> stallar, odlingsanläggningar, djuranläggningar och gemensamma labb. Enligt REB</w:t>
      </w:r>
      <w:r w:rsidR="00AA5423" w:rsidRPr="00EB557B">
        <w:t xml:space="preserve"> </w:t>
      </w:r>
      <w:r w:rsidRPr="00EB557B">
        <w:t>20091012 får dessa anslagsfinansieras under förut</w:t>
      </w:r>
      <w:r w:rsidR="00C42EE3" w:rsidRPr="00EB557B">
        <w:t>sättning att detta godkänts av u</w:t>
      </w:r>
      <w:r w:rsidRPr="00EB557B">
        <w:t xml:space="preserve">niversitetsdirektören. Fakulteterna sammanställer en lista på fakulteternas inklusive institutionernas Core Facilities och </w:t>
      </w:r>
      <w:r w:rsidR="00A41AC0" w:rsidRPr="00EB557B">
        <w:t>lämnar denna för godkännande.</w:t>
      </w:r>
    </w:p>
    <w:p w14:paraId="2E4A5471" w14:textId="77777777" w:rsidR="001329C5" w:rsidRDefault="001329C5" w:rsidP="00DD0D83">
      <w:pPr>
        <w:pStyle w:val="Rubrik2"/>
        <w:spacing w:before="120"/>
      </w:pPr>
    </w:p>
    <w:p w14:paraId="749632F6" w14:textId="43070226" w:rsidR="009D21BE" w:rsidRDefault="001329C5" w:rsidP="002C3BFF">
      <w:pPr>
        <w:pStyle w:val="Rubrik2"/>
      </w:pPr>
      <w:bookmarkStart w:id="31" w:name="_Toc271210054"/>
      <w:bookmarkStart w:id="32" w:name="_Toc271210096"/>
      <w:bookmarkStart w:id="33" w:name="_Toc405886401"/>
      <w:r>
        <w:t>2.</w:t>
      </w:r>
      <w:r w:rsidR="007667E4">
        <w:t>9</w:t>
      </w:r>
      <w:r w:rsidR="0009717C" w:rsidRPr="0009717C">
        <w:t xml:space="preserve"> Hantering av lokalkostn</w:t>
      </w:r>
      <w:r w:rsidR="0009717C">
        <w:t>a</w:t>
      </w:r>
      <w:r w:rsidR="0009717C" w:rsidRPr="0009717C">
        <w:t>der</w:t>
      </w:r>
      <w:bookmarkEnd w:id="31"/>
      <w:bookmarkEnd w:id="32"/>
      <w:bookmarkEnd w:id="33"/>
    </w:p>
    <w:p w14:paraId="412E053F" w14:textId="2CB991B9" w:rsidR="009D21BE" w:rsidRDefault="009D21BE" w:rsidP="008140FB">
      <w:r>
        <w:t xml:space="preserve">Den lokalkostnad som ska ingå i </w:t>
      </w:r>
      <w:r w:rsidR="00885C0F" w:rsidRPr="00885C0F">
        <w:rPr>
          <w:i/>
        </w:rPr>
        <w:t>institutions</w:t>
      </w:r>
      <w:r w:rsidRPr="005C72EA">
        <w:rPr>
          <w:i/>
        </w:rPr>
        <w:t>påslaget</w:t>
      </w:r>
      <w:r>
        <w:t xml:space="preserve"> är </w:t>
      </w:r>
      <w:r w:rsidRPr="009D21BE">
        <w:rPr>
          <w:i/>
        </w:rPr>
        <w:t>stödverksamhetens</w:t>
      </w:r>
      <w:r>
        <w:t xml:space="preserve"> lokalkostnad. </w:t>
      </w:r>
    </w:p>
    <w:p w14:paraId="1D8C21B9" w14:textId="77777777" w:rsidR="009D21BE" w:rsidRDefault="009D21BE" w:rsidP="008140FB"/>
    <w:p w14:paraId="23F675E6" w14:textId="21032344" w:rsidR="008140FB" w:rsidRDefault="009D21BE" w:rsidP="008140FB">
      <w:r>
        <w:t xml:space="preserve">Övriga lokalkostnader klassas som </w:t>
      </w:r>
      <w:r w:rsidRPr="004D3E41">
        <w:rPr>
          <w:i/>
        </w:rPr>
        <w:t>direkta</w:t>
      </w:r>
      <w:r>
        <w:t xml:space="preserve"> och ska därför fördelas på </w:t>
      </w:r>
      <w:r w:rsidRPr="009D21BE">
        <w:rPr>
          <w:i/>
        </w:rPr>
        <w:t>kärnverksamheten</w:t>
      </w:r>
      <w:r>
        <w:t xml:space="preserve">. </w:t>
      </w:r>
      <w:r w:rsidR="008801D8">
        <w:t>Detta görs genom att institutionen i budgetarbetet beräknar ett lokal</w:t>
      </w:r>
      <w:r w:rsidR="001746F3">
        <w:t>kostnads</w:t>
      </w:r>
      <w:r w:rsidR="008801D8">
        <w:t>påslag för fördelning av de hyreskostnader som SLU Lokaler debiterar institutionen.</w:t>
      </w:r>
    </w:p>
    <w:p w14:paraId="4115BB2B" w14:textId="77777777" w:rsidR="008140FB" w:rsidRDefault="008140FB" w:rsidP="008140FB"/>
    <w:p w14:paraId="79BA2673" w14:textId="5F751DC4" w:rsidR="002853A7" w:rsidRDefault="00EF1F33" w:rsidP="002853A7">
      <w:r>
        <w:t>I</w:t>
      </w:r>
      <w:r w:rsidR="008140FB">
        <w:t xml:space="preserve">nternhyran </w:t>
      </w:r>
      <w:r w:rsidR="00EA79A0">
        <w:t xml:space="preserve">utifrån nyttjande </w:t>
      </w:r>
      <w:r>
        <w:t xml:space="preserve">debiteras </w:t>
      </w:r>
      <w:r w:rsidR="00EA79A0">
        <w:t xml:space="preserve">normalt </w:t>
      </w:r>
      <w:r>
        <w:t xml:space="preserve">av SLU Lokaler </w:t>
      </w:r>
      <w:r w:rsidR="008140FB">
        <w:t>till institutionsnivå</w:t>
      </w:r>
      <w:r w:rsidR="00EA79A0">
        <w:t>n</w:t>
      </w:r>
      <w:r w:rsidR="00850E1F">
        <w:t xml:space="preserve"> gemensamt</w:t>
      </w:r>
      <w:r w:rsidR="00EA79A0">
        <w:t>.</w:t>
      </w:r>
      <w:r w:rsidR="008140FB">
        <w:t xml:space="preserve"> </w:t>
      </w:r>
      <w:r w:rsidR="00EA79A0">
        <w:t>Från</w:t>
      </w:r>
      <w:r w:rsidR="008140FB">
        <w:t xml:space="preserve"> institutionsnivån fördela</w:t>
      </w:r>
      <w:r w:rsidR="00EA79A0">
        <w:t>s lokalkostnaden vidare</w:t>
      </w:r>
      <w:r>
        <w:t xml:space="preserve"> med </w:t>
      </w:r>
      <w:r w:rsidR="000750C8">
        <w:t>lönebas</w:t>
      </w:r>
      <w:r>
        <w:t>, på motsvarande sätt som institutionspåslaget,</w:t>
      </w:r>
      <w:r w:rsidR="008140FB">
        <w:t xml:space="preserve"> med hjälp av en </w:t>
      </w:r>
      <w:r w:rsidR="007A3903">
        <w:t xml:space="preserve">särskild </w:t>
      </w:r>
      <w:r w:rsidR="008140FB">
        <w:t>trigger (automatkontering)</w:t>
      </w:r>
      <w:r w:rsidR="002853A7">
        <w:t xml:space="preserve"> i ekonomisystemet</w:t>
      </w:r>
      <w:r w:rsidR="007A3903">
        <w:t xml:space="preserve">. </w:t>
      </w:r>
      <w:r w:rsidR="000E5B35">
        <w:t>Intern</w:t>
      </w:r>
      <w:r w:rsidR="004071C1">
        <w:t xml:space="preserve">hyran </w:t>
      </w:r>
      <w:r w:rsidR="00EA79A0">
        <w:t xml:space="preserve">för kärnverksamheten </w:t>
      </w:r>
      <w:r w:rsidR="004071C1">
        <w:t xml:space="preserve">ska </w:t>
      </w:r>
      <w:r w:rsidR="00EA79A0">
        <w:t xml:space="preserve">alltså </w:t>
      </w:r>
      <w:r w:rsidR="003F4111">
        <w:t>aldrig</w:t>
      </w:r>
      <w:r w:rsidR="004071C1">
        <w:t xml:space="preserve"> ingå i </w:t>
      </w:r>
      <w:r>
        <w:t>institutions</w:t>
      </w:r>
      <w:r w:rsidR="004071C1">
        <w:t>påslag</w:t>
      </w:r>
      <w:r w:rsidR="00B917E6">
        <w:t>et</w:t>
      </w:r>
      <w:r w:rsidR="000750C8" w:rsidRPr="005A173C">
        <w:t>.</w:t>
      </w:r>
      <w:r w:rsidR="00A43871">
        <w:t xml:space="preserve"> För externfinansierade </w:t>
      </w:r>
      <w:r w:rsidR="00C42EE3">
        <w:t>bidrags</w:t>
      </w:r>
      <w:r w:rsidR="00A43871">
        <w:t>projekt med kontrakt sker fördelningen i två steg på motsvarande sätt som för institutionspåslaget, så att avstämning görs på enhetsnivån</w:t>
      </w:r>
      <w:r w:rsidR="00A43871" w:rsidRPr="00685EDE">
        <w:t>.</w:t>
      </w:r>
      <w:r w:rsidR="002853A7" w:rsidRPr="00685EDE">
        <w:t xml:space="preserve"> Läs mer om detta i </w:t>
      </w:r>
      <w:r w:rsidR="00556A11" w:rsidRPr="00374510">
        <w:t>ekonomihandboken</w:t>
      </w:r>
      <w:r w:rsidR="00556A11">
        <w:t xml:space="preserve">s </w:t>
      </w:r>
      <w:hyperlink r:id="rId14" w:history="1">
        <w:r w:rsidR="00556A11" w:rsidRPr="00556A11">
          <w:rPr>
            <w:rStyle w:val="Hyperlnk"/>
          </w:rPr>
          <w:t>kapitel 5</w:t>
        </w:r>
      </w:hyperlink>
      <w:r w:rsidR="00556A11">
        <w:t>, avsnitt 5.2.8</w:t>
      </w:r>
      <w:r w:rsidR="002853A7" w:rsidRPr="00685EDE">
        <w:t>, där det även finns konteringsexempel.</w:t>
      </w:r>
      <w:r w:rsidR="002853A7">
        <w:t xml:space="preserve"> </w:t>
      </w:r>
    </w:p>
    <w:p w14:paraId="5717850E" w14:textId="77777777" w:rsidR="004805EA" w:rsidRPr="00EB557B" w:rsidRDefault="000E5B35" w:rsidP="004805EA">
      <w:r>
        <w:br/>
      </w:r>
      <w:r w:rsidR="000A7858" w:rsidRPr="00EB557B">
        <w:t>Utöver internhyra debiteras institutionerna lokalvårdskostnader men på ett separat kostnadskonto.</w:t>
      </w:r>
      <w:r w:rsidR="000D214D" w:rsidRPr="00EB557B">
        <w:t xml:space="preserve"> Fr.o.m. 2015 avvecklas lokaltjänstepåslaget. Istället fördelas kostnader för friställda lokaler och skalskydd till institutionerna baserat på lokalyta. Fördelningen sker med separat konto </w:t>
      </w:r>
      <w:r w:rsidR="004805EA" w:rsidRPr="00EB557B">
        <w:t>på samma nivå i redovisningen som internhyran. Detta är en del av lokalkostnaden och ska inte heller ingå i institutionspåslaget.</w:t>
      </w:r>
    </w:p>
    <w:p w14:paraId="0D2C2D47" w14:textId="2AB478FF" w:rsidR="00850E1F" w:rsidRDefault="004805EA" w:rsidP="003F4111">
      <w:r>
        <w:br/>
      </w:r>
      <w:r w:rsidR="00DC1B19" w:rsidRPr="00EB557B">
        <w:t>Kostnader för infrastruktur it/tele, lokalförsörjning och konst ingår i universitetspåslaget</w:t>
      </w:r>
      <w:r w:rsidR="00DC1B19" w:rsidRPr="000A7858">
        <w:rPr>
          <w:color w:val="FF0000"/>
        </w:rPr>
        <w:t>.</w:t>
      </w:r>
      <w:r w:rsidR="000E5B35" w:rsidRPr="000A7858">
        <w:rPr>
          <w:color w:val="FF0000"/>
        </w:rPr>
        <w:br/>
      </w:r>
      <w:r w:rsidR="000E5B35">
        <w:br/>
      </w:r>
      <w:r w:rsidR="00850E1F">
        <w:t xml:space="preserve">Lokalkostnader för t ex gemensamma laboratorier kan </w:t>
      </w:r>
      <w:r w:rsidR="00406824">
        <w:t>beräknas och bokföras</w:t>
      </w:r>
      <w:r w:rsidR="00850E1F">
        <w:t xml:space="preserve"> utanför lokalpåslaget</w:t>
      </w:r>
      <w:r w:rsidR="00406824">
        <w:t xml:space="preserve">, </w:t>
      </w:r>
      <w:r w:rsidR="00850E1F">
        <w:t xml:space="preserve">på ett eget kostnadsställe eller ett eget projekt i grupp 95*. SLU Lokaler debiterar då lokalkostnaderna till den enhet och/eller projekt som institutionen meddelat. Manuell fördelning </w:t>
      </w:r>
      <w:r w:rsidR="00406824">
        <w:t xml:space="preserve">av kostnaderna </w:t>
      </w:r>
      <w:r w:rsidR="00850E1F">
        <w:t xml:space="preserve">måste sedan göras </w:t>
      </w:r>
      <w:r w:rsidR="00406824">
        <w:t>av institutionen</w:t>
      </w:r>
      <w:r w:rsidR="00850E1F">
        <w:t>.</w:t>
      </w:r>
    </w:p>
    <w:p w14:paraId="72D1AE51" w14:textId="77777777" w:rsidR="003F4111" w:rsidRDefault="003F4111" w:rsidP="003F4111"/>
    <w:p w14:paraId="71195C19" w14:textId="77777777" w:rsidR="00850E1F" w:rsidRDefault="00850E1F" w:rsidP="003F4111">
      <w:r>
        <w:t>Om en enhet inom en institution av någon särskild anledning (t ex fältarbete) inte ska ha lokalpåslag k</w:t>
      </w:r>
      <w:r w:rsidR="00406824">
        <w:t>an den undantas</w:t>
      </w:r>
      <w:r>
        <w:t>. Observera att det gäller en HEL enhet och inte enstaka projekt.</w:t>
      </w:r>
    </w:p>
    <w:p w14:paraId="74EF22E4" w14:textId="77777777" w:rsidR="003F4111" w:rsidRDefault="003F4111" w:rsidP="003F4111"/>
    <w:p w14:paraId="151A6FC1" w14:textId="77777777" w:rsidR="00AF4522" w:rsidRPr="00685EDE" w:rsidRDefault="00850E1F" w:rsidP="00AF4522">
      <w:r w:rsidRPr="00685EDE">
        <w:t xml:space="preserve">Undantagsvis kan en institution välja att SLU Lokaler debiterar lokalkostnaderna direkt till </w:t>
      </w:r>
      <w:r w:rsidRPr="00685EDE">
        <w:rPr>
          <w:i/>
        </w:rPr>
        <w:t>samtliga</w:t>
      </w:r>
      <w:r w:rsidRPr="00685EDE">
        <w:t xml:space="preserve"> enheter inom institutionen. </w:t>
      </w:r>
      <w:r w:rsidR="00406824" w:rsidRPr="00685EDE">
        <w:t>Då kommer institutionen inte att ha något lokalpåslag utan</w:t>
      </w:r>
      <w:r w:rsidRPr="00685EDE">
        <w:t xml:space="preserve"> </w:t>
      </w:r>
      <w:r w:rsidR="00406824" w:rsidRPr="00685EDE">
        <w:t>all vidarefördelning måste</w:t>
      </w:r>
      <w:r w:rsidRPr="00685EDE">
        <w:t xml:space="preserve"> g</w:t>
      </w:r>
      <w:r w:rsidR="00406824" w:rsidRPr="00685EDE">
        <w:t>öras manuellt av institutionen.</w:t>
      </w:r>
      <w:r w:rsidRPr="00685EDE">
        <w:t xml:space="preserve"> Det här alternativet rekommenderas inte</w:t>
      </w:r>
      <w:r w:rsidR="003F4111" w:rsidRPr="00685EDE">
        <w:t>, eftersom det innebär mycket manuellt arbete</w:t>
      </w:r>
      <w:r w:rsidRPr="00685EDE">
        <w:t>.</w:t>
      </w:r>
      <w:r w:rsidRPr="00685EDE">
        <w:br/>
      </w:r>
    </w:p>
    <w:p w14:paraId="323DFA62" w14:textId="6BB6CF45" w:rsidR="009C2AE2" w:rsidRDefault="001329C5">
      <w:pPr>
        <w:pStyle w:val="Rubrik2"/>
      </w:pPr>
      <w:bookmarkStart w:id="34" w:name="_Toc271210055"/>
      <w:bookmarkStart w:id="35" w:name="_Toc271210097"/>
      <w:bookmarkStart w:id="36" w:name="_Toc405886402"/>
      <w:r>
        <w:t>2.</w:t>
      </w:r>
      <w:r w:rsidR="007667E4">
        <w:t>10</w:t>
      </w:r>
      <w:r w:rsidR="0009717C">
        <w:t xml:space="preserve"> </w:t>
      </w:r>
      <w:r w:rsidR="004071C1">
        <w:t>K</w:t>
      </w:r>
      <w:r w:rsidR="00AF4522">
        <w:t>alkyl</w:t>
      </w:r>
      <w:r w:rsidR="004071C1">
        <w:t xml:space="preserve"> för ansökningar</w:t>
      </w:r>
      <w:bookmarkEnd w:id="34"/>
      <w:bookmarkEnd w:id="35"/>
      <w:bookmarkEnd w:id="36"/>
    </w:p>
    <w:p w14:paraId="0EBB4F15" w14:textId="6BC5B8A6" w:rsidR="00982A21" w:rsidRDefault="001635D7" w:rsidP="0094139F">
      <w:r>
        <w:t>Vid ansökningar av medel till externfinansierade forskningsprojekt fr.o.m. 2010 ska en SLU-gemensam kalkylmall</w:t>
      </w:r>
      <w:r w:rsidR="0075781D">
        <w:t xml:space="preserve"> </w:t>
      </w:r>
      <w:r w:rsidR="0075781D" w:rsidRPr="00685EDE">
        <w:t>(Fullkostnadskalkyl)</w:t>
      </w:r>
      <w:r w:rsidRPr="00685EDE">
        <w:t>,</w:t>
      </w:r>
      <w:r>
        <w:t xml:space="preserve"> anpassad till SUHF-modellen, användas</w:t>
      </w:r>
      <w:r w:rsidR="0094139F" w:rsidRPr="00D13187">
        <w:t xml:space="preserve">. </w:t>
      </w:r>
    </w:p>
    <w:p w14:paraId="42D58510" w14:textId="77777777" w:rsidR="00982A21" w:rsidRDefault="00982A21" w:rsidP="0094139F"/>
    <w:p w14:paraId="145E85A4" w14:textId="77777777" w:rsidR="0089704F" w:rsidRPr="00D13187" w:rsidRDefault="00954E57" w:rsidP="0094139F">
      <w:r>
        <w:t>Tidigare kalkyler visade ofta</w:t>
      </w:r>
      <w:r w:rsidR="0094139F" w:rsidRPr="00D13187">
        <w:t xml:space="preserve"> direkta projektkostnader och ett procentpåslag för indirekta kostnader inklusive lokaler. Procentsatsen </w:t>
      </w:r>
      <w:r>
        <w:t>bestämdes</w:t>
      </w:r>
      <w:r w:rsidR="0094139F" w:rsidRPr="00D13187">
        <w:t xml:space="preserve"> i en överenskommelse med finansiären och ha</w:t>
      </w:r>
      <w:r w:rsidR="00982A21">
        <w:t>de</w:t>
      </w:r>
      <w:r w:rsidR="0094139F" w:rsidRPr="00D13187">
        <w:t xml:space="preserve"> inget samband med de verkliga indirekta kostnaderna. </w:t>
      </w:r>
    </w:p>
    <w:p w14:paraId="09399B5B" w14:textId="77777777" w:rsidR="0089704F" w:rsidRPr="00D13187" w:rsidRDefault="0089704F" w:rsidP="0094139F"/>
    <w:p w14:paraId="02099D12" w14:textId="0ADA09D5" w:rsidR="00393152" w:rsidRDefault="0094139F" w:rsidP="0094139F">
      <w:r w:rsidRPr="00D13187">
        <w:t xml:space="preserve">Med </w:t>
      </w:r>
      <w:r w:rsidR="001746F3">
        <w:t>fullkostnads</w:t>
      </w:r>
      <w:r w:rsidR="00B06E62">
        <w:t>kalkylen</w:t>
      </w:r>
      <w:r w:rsidR="007F0C6A">
        <w:t xml:space="preserve"> </w:t>
      </w:r>
      <w:r w:rsidR="0089704F" w:rsidRPr="00D13187">
        <w:t xml:space="preserve">visas </w:t>
      </w:r>
      <w:r w:rsidRPr="00D13187">
        <w:t>de totala indirekta kostnaderna och finansiären beslutar om bidrag med ett visst belopp eller en viss andel av de totala kostnaderna.</w:t>
      </w:r>
      <w:r w:rsidR="009D7F0C" w:rsidRPr="00D13187">
        <w:t xml:space="preserve"> </w:t>
      </w:r>
      <w:r w:rsidR="00B06E62">
        <w:t xml:space="preserve">I </w:t>
      </w:r>
      <w:r w:rsidR="009D7F0C" w:rsidRPr="00D13187">
        <w:t xml:space="preserve">kalkylen </w:t>
      </w:r>
      <w:r w:rsidR="0089704F" w:rsidRPr="00D13187">
        <w:t xml:space="preserve">tydliggörs behovet av medfinansiering både för universitetet och för finansiären. Vid projektansökan måste institutionen ta ställning till om och i vilken omfattning det finns andra medel, t ex anslag, för att medfinansiera delar av ett projekt som det söks externa medel för. </w:t>
      </w:r>
      <w:r w:rsidR="0089704F" w:rsidRPr="00BA4CD5">
        <w:t>Återredovisning till finansiären upprättas för hela kostnadsbäraren inklusive eventuell medfinansiering. Finansiären får därmed uppgift om sin andel av de totala kostnaderna.</w:t>
      </w:r>
      <w:r w:rsidR="00BA4CD5" w:rsidRPr="00BA4CD5">
        <w:t xml:space="preserve"> </w:t>
      </w:r>
    </w:p>
    <w:p w14:paraId="45DB790E" w14:textId="77777777" w:rsidR="00393152" w:rsidRDefault="00393152" w:rsidP="0094139F"/>
    <w:p w14:paraId="0FBFECCD" w14:textId="77777777" w:rsidR="00BA4CD5" w:rsidRDefault="000555EC" w:rsidP="0094139F">
      <w:r>
        <w:t>Som nämnts i avsnitt 2.1, Kostnadsbärare, ovan</w:t>
      </w:r>
      <w:r w:rsidR="00393152">
        <w:t xml:space="preserve"> ska enhet</w:t>
      </w:r>
      <w:r w:rsidR="00BA4CD5" w:rsidRPr="00BA4CD5">
        <w:t xml:space="preserve"> användas </w:t>
      </w:r>
      <w:r>
        <w:t xml:space="preserve">vid SLU </w:t>
      </w:r>
      <w:r w:rsidR="00BA4CD5" w:rsidRPr="00BA4CD5">
        <w:t>som kostnadsbärare vid bidragsansökningar så långt det är möjligt. Där detta är omöjligt kan enheten använda ett projekt/kontrakt eller en grupp av projekt/kontrakt som en tillfällig kostnadsbärare i bidragsansökan</w:t>
      </w:r>
      <w:r w:rsidR="00BA4CD5">
        <w:t xml:space="preserve"> och återrapportering</w:t>
      </w:r>
      <w:r w:rsidR="00BA4CD5" w:rsidRPr="00BA4CD5">
        <w:t>.</w:t>
      </w:r>
    </w:p>
    <w:p w14:paraId="50EC2F5E" w14:textId="77777777" w:rsidR="00982A21" w:rsidRDefault="00982A21" w:rsidP="0094139F"/>
    <w:p w14:paraId="0FE1FA26" w14:textId="01833C07" w:rsidR="0056678E" w:rsidRDefault="00AA64F2" w:rsidP="0094139F">
      <w:r>
        <w:t>Många finansiärer har anpassat sig till S</w:t>
      </w:r>
      <w:r w:rsidR="0056678E">
        <w:t>UHF-modellen och kommer att medge</w:t>
      </w:r>
      <w:r>
        <w:t xml:space="preserve"> </w:t>
      </w:r>
      <w:r w:rsidR="0056678E">
        <w:t xml:space="preserve">det procentpåslag för indirekta kostnader som innebär </w:t>
      </w:r>
      <w:r>
        <w:t>full kostnadstäckning</w:t>
      </w:r>
      <w:r w:rsidR="0056678E">
        <w:t xml:space="preserve">. </w:t>
      </w:r>
      <w:r w:rsidR="00DB1D25">
        <w:t>För</w:t>
      </w:r>
      <w:r w:rsidR="00DB1D25" w:rsidRPr="00DB1D25">
        <w:t xml:space="preserve"> statliga svenska finansiärer </w:t>
      </w:r>
      <w:r w:rsidR="00DB1D25">
        <w:t>är</w:t>
      </w:r>
      <w:r w:rsidR="00DB1D25" w:rsidRPr="00DB1D25">
        <w:t xml:space="preserve"> fullkostnadsfinansiering obligatorisk via Regleringsbrev.</w:t>
      </w:r>
      <w:r w:rsidR="00DB1D25">
        <w:t xml:space="preserve"> </w:t>
      </w:r>
      <w:r w:rsidR="0056678E">
        <w:t xml:space="preserve">Andra finansiärer har andra villkor vilket gör att full kostnadstäckning inte alltid uppnås. </w:t>
      </w:r>
      <w:r w:rsidR="00685EDE" w:rsidRPr="00685EDE">
        <w:t>På medarbetar</w:t>
      </w:r>
      <w:r w:rsidR="0056678E" w:rsidRPr="00685EDE">
        <w:t>webben</w:t>
      </w:r>
      <w:r w:rsidR="00B13F3E" w:rsidRPr="00685EDE">
        <w:t xml:space="preserve">, </w:t>
      </w:r>
      <w:hyperlink r:id="rId15" w:history="1">
        <w:r w:rsidR="00556A11" w:rsidRPr="00556A11">
          <w:rPr>
            <w:rStyle w:val="Hyperlnk"/>
          </w:rPr>
          <w:t>Stöd &amp; service / Externfinansiering – utlysningar</w:t>
        </w:r>
      </w:hyperlink>
      <w:r w:rsidR="00556A11">
        <w:t>,</w:t>
      </w:r>
      <w:hyperlink r:id="rId16" w:history="1"/>
      <w:r w:rsidR="0056678E" w:rsidRPr="00685EDE">
        <w:t xml:space="preserve"> finns det information om forskningsfinansiärer och deras villkor.  Där finns även den </w:t>
      </w:r>
      <w:r w:rsidR="001746F3" w:rsidRPr="00685EDE">
        <w:t>fullkostnads</w:t>
      </w:r>
      <w:r w:rsidR="0056678E" w:rsidRPr="00685EDE">
        <w:t xml:space="preserve">kalkyl som ska användas vid bidragsansökningar. </w:t>
      </w:r>
    </w:p>
    <w:p w14:paraId="7BDE3942" w14:textId="77777777" w:rsidR="00685EDE" w:rsidRDefault="00685EDE" w:rsidP="0094139F"/>
    <w:p w14:paraId="6B4644D7" w14:textId="77777777" w:rsidR="002C3BFF" w:rsidRDefault="002C3BFF" w:rsidP="00BA40E3"/>
    <w:p w14:paraId="01CBDF6D" w14:textId="77777777" w:rsidR="00BA40E3" w:rsidRPr="00BA40E3" w:rsidRDefault="00BA40E3" w:rsidP="00BA40E3"/>
    <w:p w14:paraId="0546FAB2" w14:textId="77777777" w:rsidR="00AF4522" w:rsidRPr="00AF4522" w:rsidRDefault="00AF4522" w:rsidP="00AF4522"/>
    <w:p w14:paraId="0F0C2495" w14:textId="77777777" w:rsidR="00572729" w:rsidRDefault="00572729"/>
    <w:p w14:paraId="5FE42F28" w14:textId="77777777" w:rsidR="00572729" w:rsidRDefault="00572729"/>
    <w:p w14:paraId="4FF1EB3D" w14:textId="77777777" w:rsidR="00572729" w:rsidRDefault="00572729"/>
    <w:p w14:paraId="0EDA6565" w14:textId="77777777" w:rsidR="00572729" w:rsidRDefault="00572729"/>
    <w:p w14:paraId="6B708C2F" w14:textId="77777777" w:rsidR="00572729" w:rsidRPr="005A173C" w:rsidRDefault="00572729"/>
    <w:sectPr w:rsidR="00572729" w:rsidRPr="005A173C" w:rsidSect="00EF07B1">
      <w:footerReference w:type="default" r:id="rId17"/>
      <w:headerReference w:type="first" r:id="rId18"/>
      <w:footerReference w:type="firs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67EC0" w14:textId="77777777" w:rsidR="00B85FDA" w:rsidRDefault="00B85FDA" w:rsidP="000750C8">
      <w:r>
        <w:separator/>
      </w:r>
    </w:p>
  </w:endnote>
  <w:endnote w:type="continuationSeparator" w:id="0">
    <w:p w14:paraId="49E20DB0" w14:textId="77777777" w:rsidR="00B85FDA" w:rsidRDefault="00B85FDA" w:rsidP="0007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0D72" w14:textId="21F267D7" w:rsidR="00B85FDA" w:rsidRDefault="00B85FDA">
    <w:pPr>
      <w:pStyle w:val="Sidfot"/>
      <w:jc w:val="right"/>
    </w:pPr>
    <w:r>
      <w:fldChar w:fldCharType="begin"/>
    </w:r>
    <w:r>
      <w:instrText xml:space="preserve"> PAGE   \* MERGEFORMAT </w:instrText>
    </w:r>
    <w:r>
      <w:fldChar w:fldCharType="separate"/>
    </w:r>
    <w:r w:rsidR="00F90A92">
      <w:rPr>
        <w:noProof/>
      </w:rPr>
      <w:t>5</w:t>
    </w:r>
    <w:r>
      <w:rPr>
        <w:noProof/>
      </w:rPr>
      <w:fldChar w:fldCharType="end"/>
    </w:r>
  </w:p>
  <w:p w14:paraId="176DBDB0" w14:textId="77777777" w:rsidR="00B85FDA" w:rsidRDefault="00B85F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953B" w14:textId="77777777" w:rsidR="00B85FDA" w:rsidRDefault="00B85FDA">
    <w:pPr>
      <w:pStyle w:val="Sidfot"/>
      <w:rPr>
        <w:color w:val="000000"/>
        <w:sz w:val="15"/>
        <w:szCs w:val="15"/>
      </w:rPr>
    </w:pPr>
    <w:r>
      <w:rPr>
        <w:color w:val="000000"/>
        <w:sz w:val="15"/>
        <w:szCs w:val="15"/>
      </w:rPr>
      <w:t xml:space="preserve">                                                                                                                                                                                                  </w:t>
    </w:r>
  </w:p>
  <w:p w14:paraId="4D7EBB45" w14:textId="77777777" w:rsidR="00B85FDA" w:rsidRDefault="00B85FDA">
    <w:pPr>
      <w:pStyle w:val="Sidfot"/>
    </w:pPr>
    <w:r>
      <w:rPr>
        <w:color w:val="00000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E5A1" w14:textId="77777777" w:rsidR="00B85FDA" w:rsidRDefault="00B85FDA" w:rsidP="000750C8">
      <w:r>
        <w:separator/>
      </w:r>
    </w:p>
  </w:footnote>
  <w:footnote w:type="continuationSeparator" w:id="0">
    <w:p w14:paraId="226654E6" w14:textId="77777777" w:rsidR="00B85FDA" w:rsidRDefault="00B85FDA" w:rsidP="0007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D8CF" w14:textId="70B9B7F5" w:rsidR="00B85FDA" w:rsidRDefault="00B85FDA">
    <w:pPr>
      <w:pStyle w:val="Sidhuvud"/>
    </w:pPr>
    <w:r>
      <w:tab/>
    </w:r>
    <w:r>
      <w:tab/>
      <w:t>Uppdaterad 2014-1</w:t>
    </w:r>
    <w:r w:rsidR="00EB557B">
      <w:t>2</w:t>
    </w:r>
    <w:r>
      <w:t>-</w:t>
    </w:r>
    <w:r w:rsidR="00EB557B">
      <w:t>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3A9E"/>
    <w:multiLevelType w:val="hybridMultilevel"/>
    <w:tmpl w:val="F50A254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65D06FF"/>
    <w:multiLevelType w:val="multilevel"/>
    <w:tmpl w:val="623C1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9FF50A5"/>
    <w:multiLevelType w:val="hybridMultilevel"/>
    <w:tmpl w:val="988819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E49A3"/>
    <w:multiLevelType w:val="multilevel"/>
    <w:tmpl w:val="623C1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3186DA8"/>
    <w:multiLevelType w:val="multilevel"/>
    <w:tmpl w:val="707248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8274942"/>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9993CFD"/>
    <w:multiLevelType w:val="hybridMultilevel"/>
    <w:tmpl w:val="D16CBFE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DE57E89"/>
    <w:multiLevelType w:val="hybridMultilevel"/>
    <w:tmpl w:val="51C20EA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FA06A50"/>
    <w:multiLevelType w:val="multilevel"/>
    <w:tmpl w:val="623C1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E24A79"/>
    <w:multiLevelType w:val="hybridMultilevel"/>
    <w:tmpl w:val="B100C3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50F14"/>
    <w:multiLevelType w:val="hybridMultilevel"/>
    <w:tmpl w:val="BF468A82"/>
    <w:lvl w:ilvl="0" w:tplc="FC18EAA0">
      <w:start w:val="1"/>
      <w:numFmt w:val="decimal"/>
      <w:lvlText w:val="2.%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6F444EF8"/>
    <w:multiLevelType w:val="hybridMultilevel"/>
    <w:tmpl w:val="A3F43BF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75D11B6B"/>
    <w:multiLevelType w:val="hybridMultilevel"/>
    <w:tmpl w:val="2210397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F52B2"/>
    <w:multiLevelType w:val="hybridMultilevel"/>
    <w:tmpl w:val="6FF8FC82"/>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7"/>
  </w:num>
  <w:num w:numId="4">
    <w:abstractNumId w:val="4"/>
  </w:num>
  <w:num w:numId="5">
    <w:abstractNumId w:val="13"/>
  </w:num>
  <w:num w:numId="6">
    <w:abstractNumId w:val="9"/>
  </w:num>
  <w:num w:numId="7">
    <w:abstractNumId w:val="10"/>
  </w:num>
  <w:num w:numId="8">
    <w:abstractNumId w:val="12"/>
  </w:num>
  <w:num w:numId="9">
    <w:abstractNumId w:val="2"/>
  </w:num>
  <w:num w:numId="10">
    <w:abstractNumId w:val="6"/>
  </w:num>
  <w:num w:numId="11">
    <w:abstractNumId w:val="11"/>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9C"/>
    <w:rsid w:val="00004B34"/>
    <w:rsid w:val="0001133A"/>
    <w:rsid w:val="000162F1"/>
    <w:rsid w:val="000555EC"/>
    <w:rsid w:val="000750C8"/>
    <w:rsid w:val="0007662A"/>
    <w:rsid w:val="00086A72"/>
    <w:rsid w:val="0009624B"/>
    <w:rsid w:val="0009717C"/>
    <w:rsid w:val="000A6F1E"/>
    <w:rsid w:val="000A7858"/>
    <w:rsid w:val="000B0814"/>
    <w:rsid w:val="000D214D"/>
    <w:rsid w:val="000E5B35"/>
    <w:rsid w:val="000F2313"/>
    <w:rsid w:val="00101510"/>
    <w:rsid w:val="001016CA"/>
    <w:rsid w:val="00104B78"/>
    <w:rsid w:val="001329C5"/>
    <w:rsid w:val="00141B64"/>
    <w:rsid w:val="0016339C"/>
    <w:rsid w:val="001635D7"/>
    <w:rsid w:val="001746F3"/>
    <w:rsid w:val="001E15CB"/>
    <w:rsid w:val="001F1C9C"/>
    <w:rsid w:val="00215372"/>
    <w:rsid w:val="00265275"/>
    <w:rsid w:val="002853A7"/>
    <w:rsid w:val="002A1555"/>
    <w:rsid w:val="002A5895"/>
    <w:rsid w:val="002C11B3"/>
    <w:rsid w:val="002C2B87"/>
    <w:rsid w:val="002C3BFF"/>
    <w:rsid w:val="002D2F78"/>
    <w:rsid w:val="002F446C"/>
    <w:rsid w:val="00305699"/>
    <w:rsid w:val="0032290B"/>
    <w:rsid w:val="00324F15"/>
    <w:rsid w:val="00355FA3"/>
    <w:rsid w:val="003578D0"/>
    <w:rsid w:val="00364472"/>
    <w:rsid w:val="00365E28"/>
    <w:rsid w:val="00374510"/>
    <w:rsid w:val="00384A10"/>
    <w:rsid w:val="00393152"/>
    <w:rsid w:val="003A3712"/>
    <w:rsid w:val="003B54C4"/>
    <w:rsid w:val="003B71A0"/>
    <w:rsid w:val="003C69F9"/>
    <w:rsid w:val="003D4DCD"/>
    <w:rsid w:val="003D5111"/>
    <w:rsid w:val="003E0A1B"/>
    <w:rsid w:val="003F4111"/>
    <w:rsid w:val="00406824"/>
    <w:rsid w:val="004071C1"/>
    <w:rsid w:val="00413ED5"/>
    <w:rsid w:val="00452F33"/>
    <w:rsid w:val="004805EA"/>
    <w:rsid w:val="00492A4C"/>
    <w:rsid w:val="00494CE6"/>
    <w:rsid w:val="004B0081"/>
    <w:rsid w:val="004C3106"/>
    <w:rsid w:val="004D3E41"/>
    <w:rsid w:val="00517032"/>
    <w:rsid w:val="00553A7B"/>
    <w:rsid w:val="00555792"/>
    <w:rsid w:val="00556A11"/>
    <w:rsid w:val="005573E8"/>
    <w:rsid w:val="0056678E"/>
    <w:rsid w:val="00572729"/>
    <w:rsid w:val="00582151"/>
    <w:rsid w:val="00587757"/>
    <w:rsid w:val="005A173C"/>
    <w:rsid w:val="005B37A4"/>
    <w:rsid w:val="005C72EA"/>
    <w:rsid w:val="005D0077"/>
    <w:rsid w:val="005E013D"/>
    <w:rsid w:val="00600C8F"/>
    <w:rsid w:val="006012B2"/>
    <w:rsid w:val="00625E53"/>
    <w:rsid w:val="00637554"/>
    <w:rsid w:val="0065189E"/>
    <w:rsid w:val="0066281D"/>
    <w:rsid w:val="00673B31"/>
    <w:rsid w:val="006740AA"/>
    <w:rsid w:val="00685EDE"/>
    <w:rsid w:val="00696BEB"/>
    <w:rsid w:val="006C5249"/>
    <w:rsid w:val="0071207E"/>
    <w:rsid w:val="00722367"/>
    <w:rsid w:val="007418A4"/>
    <w:rsid w:val="00756A5C"/>
    <w:rsid w:val="0075781D"/>
    <w:rsid w:val="007667E4"/>
    <w:rsid w:val="00767B03"/>
    <w:rsid w:val="0078172D"/>
    <w:rsid w:val="007A3903"/>
    <w:rsid w:val="007B0EBE"/>
    <w:rsid w:val="007C14F8"/>
    <w:rsid w:val="007F0C6A"/>
    <w:rsid w:val="007F592D"/>
    <w:rsid w:val="007F668B"/>
    <w:rsid w:val="008140FB"/>
    <w:rsid w:val="00831277"/>
    <w:rsid w:val="008504DF"/>
    <w:rsid w:val="00850E1F"/>
    <w:rsid w:val="00857039"/>
    <w:rsid w:val="008738CE"/>
    <w:rsid w:val="008801D8"/>
    <w:rsid w:val="00885C0F"/>
    <w:rsid w:val="00895A8A"/>
    <w:rsid w:val="0089704F"/>
    <w:rsid w:val="008B1E27"/>
    <w:rsid w:val="008C10DF"/>
    <w:rsid w:val="00911863"/>
    <w:rsid w:val="009166D7"/>
    <w:rsid w:val="0093148F"/>
    <w:rsid w:val="00936D04"/>
    <w:rsid w:val="0094139F"/>
    <w:rsid w:val="00941559"/>
    <w:rsid w:val="00954E57"/>
    <w:rsid w:val="00975B10"/>
    <w:rsid w:val="0097718F"/>
    <w:rsid w:val="00982A21"/>
    <w:rsid w:val="009B7552"/>
    <w:rsid w:val="009C2AE2"/>
    <w:rsid w:val="009C753A"/>
    <w:rsid w:val="009D21BE"/>
    <w:rsid w:val="009D32E4"/>
    <w:rsid w:val="009D7F0C"/>
    <w:rsid w:val="009E36F9"/>
    <w:rsid w:val="009E6A6B"/>
    <w:rsid w:val="009E7C9B"/>
    <w:rsid w:val="009F2028"/>
    <w:rsid w:val="00A157E7"/>
    <w:rsid w:val="00A323DC"/>
    <w:rsid w:val="00A41AC0"/>
    <w:rsid w:val="00A43871"/>
    <w:rsid w:val="00A9262B"/>
    <w:rsid w:val="00AA5423"/>
    <w:rsid w:val="00AA64F2"/>
    <w:rsid w:val="00AA7DA6"/>
    <w:rsid w:val="00AB15A8"/>
    <w:rsid w:val="00AF4522"/>
    <w:rsid w:val="00B06E62"/>
    <w:rsid w:val="00B13F3E"/>
    <w:rsid w:val="00B14132"/>
    <w:rsid w:val="00B27D1D"/>
    <w:rsid w:val="00B33038"/>
    <w:rsid w:val="00B4720B"/>
    <w:rsid w:val="00B71E0A"/>
    <w:rsid w:val="00B85FDA"/>
    <w:rsid w:val="00B917E6"/>
    <w:rsid w:val="00B9282E"/>
    <w:rsid w:val="00BA40E3"/>
    <w:rsid w:val="00BA4CD5"/>
    <w:rsid w:val="00C045EE"/>
    <w:rsid w:val="00C42EE3"/>
    <w:rsid w:val="00C5006C"/>
    <w:rsid w:val="00C63628"/>
    <w:rsid w:val="00C918C8"/>
    <w:rsid w:val="00C957DF"/>
    <w:rsid w:val="00CA7148"/>
    <w:rsid w:val="00CB6C83"/>
    <w:rsid w:val="00CE1142"/>
    <w:rsid w:val="00CE2B1D"/>
    <w:rsid w:val="00CF25E5"/>
    <w:rsid w:val="00CF62BF"/>
    <w:rsid w:val="00D13187"/>
    <w:rsid w:val="00D23E2C"/>
    <w:rsid w:val="00D62FCF"/>
    <w:rsid w:val="00D73E30"/>
    <w:rsid w:val="00D86D4F"/>
    <w:rsid w:val="00DA1D4D"/>
    <w:rsid w:val="00DA3021"/>
    <w:rsid w:val="00DB0223"/>
    <w:rsid w:val="00DB0DBC"/>
    <w:rsid w:val="00DB1D25"/>
    <w:rsid w:val="00DB7887"/>
    <w:rsid w:val="00DC1B19"/>
    <w:rsid w:val="00DD00E7"/>
    <w:rsid w:val="00DD0D83"/>
    <w:rsid w:val="00E01377"/>
    <w:rsid w:val="00E208A0"/>
    <w:rsid w:val="00E26F64"/>
    <w:rsid w:val="00E437C2"/>
    <w:rsid w:val="00E81BAA"/>
    <w:rsid w:val="00EA79A0"/>
    <w:rsid w:val="00EB557B"/>
    <w:rsid w:val="00EE56E8"/>
    <w:rsid w:val="00EF07B1"/>
    <w:rsid w:val="00EF1F33"/>
    <w:rsid w:val="00F25DA8"/>
    <w:rsid w:val="00F343DC"/>
    <w:rsid w:val="00F46E97"/>
    <w:rsid w:val="00F6258D"/>
    <w:rsid w:val="00F72ADD"/>
    <w:rsid w:val="00F75871"/>
    <w:rsid w:val="00F821AC"/>
    <w:rsid w:val="00F90A92"/>
    <w:rsid w:val="00FA5684"/>
    <w:rsid w:val="00FD149E"/>
    <w:rsid w:val="00FE4CFE"/>
    <w:rsid w:val="00FE76E0"/>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B26D6"/>
  <w15:docId w15:val="{C0A5ACCA-C476-40A3-A3A1-582DA85D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EA"/>
    <w:rPr>
      <w:sz w:val="24"/>
      <w:szCs w:val="24"/>
    </w:rPr>
  </w:style>
  <w:style w:type="paragraph" w:styleId="Rubrik1">
    <w:name w:val="heading 1"/>
    <w:basedOn w:val="Normal"/>
    <w:next w:val="Normal"/>
    <w:qFormat/>
    <w:rsid w:val="00215372"/>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215372"/>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BA40E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sfrteckningsrubrik">
    <w:name w:val="TOC Heading"/>
    <w:basedOn w:val="Rubrik1"/>
    <w:next w:val="Normal"/>
    <w:uiPriority w:val="39"/>
    <w:semiHidden/>
    <w:unhideWhenUsed/>
    <w:qFormat/>
    <w:rsid w:val="000750C8"/>
    <w:pPr>
      <w:keepLines/>
      <w:spacing w:before="480" w:after="0" w:line="276" w:lineRule="auto"/>
      <w:outlineLvl w:val="9"/>
    </w:pPr>
    <w:rPr>
      <w:rFonts w:ascii="Cambria" w:hAnsi="Cambria" w:cs="Times New Roman"/>
      <w:color w:val="365F91"/>
      <w:kern w:val="0"/>
      <w:sz w:val="28"/>
      <w:szCs w:val="28"/>
      <w:lang w:eastAsia="en-US"/>
    </w:rPr>
  </w:style>
  <w:style w:type="paragraph" w:styleId="Innehll1">
    <w:name w:val="toc 1"/>
    <w:basedOn w:val="Normal"/>
    <w:next w:val="Normal"/>
    <w:autoRedefine/>
    <w:uiPriority w:val="39"/>
    <w:rsid w:val="000750C8"/>
  </w:style>
  <w:style w:type="paragraph" w:styleId="Innehll2">
    <w:name w:val="toc 2"/>
    <w:basedOn w:val="Normal"/>
    <w:next w:val="Normal"/>
    <w:autoRedefine/>
    <w:uiPriority w:val="39"/>
    <w:rsid w:val="000750C8"/>
    <w:pPr>
      <w:tabs>
        <w:tab w:val="right" w:leader="dot" w:pos="9062"/>
      </w:tabs>
      <w:spacing w:line="480" w:lineRule="auto"/>
      <w:ind w:left="238"/>
    </w:pPr>
  </w:style>
  <w:style w:type="paragraph" w:styleId="Innehll3">
    <w:name w:val="toc 3"/>
    <w:basedOn w:val="Normal"/>
    <w:next w:val="Normal"/>
    <w:autoRedefine/>
    <w:uiPriority w:val="39"/>
    <w:rsid w:val="000750C8"/>
    <w:pPr>
      <w:ind w:left="480"/>
    </w:pPr>
  </w:style>
  <w:style w:type="character" w:styleId="Hyperlnk">
    <w:name w:val="Hyperlink"/>
    <w:basedOn w:val="Standardstycketeckensnitt"/>
    <w:uiPriority w:val="99"/>
    <w:unhideWhenUsed/>
    <w:rsid w:val="000750C8"/>
    <w:rPr>
      <w:color w:val="0000FF"/>
      <w:u w:val="single"/>
    </w:rPr>
  </w:style>
  <w:style w:type="paragraph" w:styleId="Sidhuvud">
    <w:name w:val="header"/>
    <w:basedOn w:val="Normal"/>
    <w:link w:val="SidhuvudChar"/>
    <w:rsid w:val="000750C8"/>
    <w:pPr>
      <w:tabs>
        <w:tab w:val="center" w:pos="4513"/>
        <w:tab w:val="right" w:pos="9026"/>
      </w:tabs>
    </w:pPr>
  </w:style>
  <w:style w:type="character" w:customStyle="1" w:styleId="SidhuvudChar">
    <w:name w:val="Sidhuvud Char"/>
    <w:basedOn w:val="Standardstycketeckensnitt"/>
    <w:link w:val="Sidhuvud"/>
    <w:rsid w:val="000750C8"/>
    <w:rPr>
      <w:sz w:val="24"/>
      <w:szCs w:val="24"/>
    </w:rPr>
  </w:style>
  <w:style w:type="paragraph" w:styleId="Sidfot">
    <w:name w:val="footer"/>
    <w:basedOn w:val="Normal"/>
    <w:link w:val="SidfotChar"/>
    <w:uiPriority w:val="99"/>
    <w:rsid w:val="000750C8"/>
    <w:pPr>
      <w:tabs>
        <w:tab w:val="center" w:pos="4513"/>
        <w:tab w:val="right" w:pos="9026"/>
      </w:tabs>
    </w:pPr>
  </w:style>
  <w:style w:type="character" w:customStyle="1" w:styleId="SidfotChar">
    <w:name w:val="Sidfot Char"/>
    <w:basedOn w:val="Standardstycketeckensnitt"/>
    <w:link w:val="Sidfot"/>
    <w:uiPriority w:val="99"/>
    <w:rsid w:val="000750C8"/>
    <w:rPr>
      <w:sz w:val="24"/>
      <w:szCs w:val="24"/>
    </w:rPr>
  </w:style>
  <w:style w:type="paragraph" w:styleId="Ingetavstnd">
    <w:name w:val="No Spacing"/>
    <w:link w:val="IngetavstndChar"/>
    <w:uiPriority w:val="1"/>
    <w:qFormat/>
    <w:rsid w:val="00EF07B1"/>
    <w:rPr>
      <w:rFonts w:ascii="Calibri" w:hAnsi="Calibri"/>
      <w:sz w:val="22"/>
      <w:szCs w:val="22"/>
      <w:lang w:eastAsia="en-US"/>
    </w:rPr>
  </w:style>
  <w:style w:type="character" w:customStyle="1" w:styleId="IngetavstndChar">
    <w:name w:val="Inget avstånd Char"/>
    <w:basedOn w:val="Standardstycketeckensnitt"/>
    <w:link w:val="Ingetavstnd"/>
    <w:uiPriority w:val="1"/>
    <w:rsid w:val="00EF07B1"/>
    <w:rPr>
      <w:rFonts w:ascii="Calibri" w:hAnsi="Calibri"/>
      <w:sz w:val="22"/>
      <w:szCs w:val="22"/>
      <w:lang w:val="sv-SE" w:eastAsia="en-US" w:bidi="ar-SA"/>
    </w:rPr>
  </w:style>
  <w:style w:type="paragraph" w:styleId="Ballongtext">
    <w:name w:val="Balloon Text"/>
    <w:basedOn w:val="Normal"/>
    <w:link w:val="BallongtextChar"/>
    <w:rsid w:val="00EF07B1"/>
    <w:rPr>
      <w:rFonts w:ascii="Tahoma" w:hAnsi="Tahoma" w:cs="Tahoma"/>
      <w:sz w:val="16"/>
      <w:szCs w:val="16"/>
    </w:rPr>
  </w:style>
  <w:style w:type="character" w:customStyle="1" w:styleId="BallongtextChar">
    <w:name w:val="Ballongtext Char"/>
    <w:basedOn w:val="Standardstycketeckensnitt"/>
    <w:link w:val="Ballongtext"/>
    <w:rsid w:val="00EF07B1"/>
    <w:rPr>
      <w:rFonts w:ascii="Tahoma" w:hAnsi="Tahoma" w:cs="Tahoma"/>
      <w:sz w:val="16"/>
      <w:szCs w:val="16"/>
    </w:rPr>
  </w:style>
  <w:style w:type="character" w:styleId="AnvndHyperlnk">
    <w:name w:val="FollowedHyperlink"/>
    <w:basedOn w:val="Standardstycketeckensnitt"/>
    <w:rsid w:val="00C42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7746">
      <w:bodyDiv w:val="1"/>
      <w:marLeft w:val="0"/>
      <w:marRight w:val="0"/>
      <w:marTop w:val="0"/>
      <w:marBottom w:val="0"/>
      <w:divBdr>
        <w:top w:val="none" w:sz="0" w:space="0" w:color="auto"/>
        <w:left w:val="none" w:sz="0" w:space="0" w:color="auto"/>
        <w:bottom w:val="none" w:sz="0" w:space="0" w:color="auto"/>
        <w:right w:val="none" w:sz="0" w:space="0" w:color="auto"/>
      </w:divBdr>
      <w:divsChild>
        <w:div w:id="669142920">
          <w:marLeft w:val="0"/>
          <w:marRight w:val="0"/>
          <w:marTop w:val="0"/>
          <w:marBottom w:val="0"/>
          <w:divBdr>
            <w:top w:val="none" w:sz="0" w:space="0" w:color="auto"/>
            <w:left w:val="none" w:sz="0" w:space="0" w:color="auto"/>
            <w:bottom w:val="none" w:sz="0" w:space="0" w:color="auto"/>
            <w:right w:val="none" w:sz="0" w:space="0" w:color="auto"/>
          </w:divBdr>
          <w:divsChild>
            <w:div w:id="1783067180">
              <w:marLeft w:val="0"/>
              <w:marRight w:val="0"/>
              <w:marTop w:val="0"/>
              <w:marBottom w:val="0"/>
              <w:divBdr>
                <w:top w:val="none" w:sz="0" w:space="0" w:color="auto"/>
                <w:left w:val="none" w:sz="0" w:space="0" w:color="auto"/>
                <w:bottom w:val="none" w:sz="0" w:space="0" w:color="auto"/>
                <w:right w:val="none" w:sz="0" w:space="0" w:color="auto"/>
              </w:divBdr>
              <w:divsChild>
                <w:div w:id="331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t.slu.se/stod-service/admin-stod/ekonomi/ekonomihandboken/ekonomihandboken-kap-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ernt.slu.se/stod-service/admin-stod/ekonomi/ekonomihandboken/ekonomihandboken-kap-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ernt.slu.se/sv/utbildning-forskning-foma/externfinansiering/generella-verktyg/ansokningskalky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t.slu.se/stod-service/admin-stod/ekonomi/ekonomihandboken/ekonomihandboken-kap-4/" TargetMode="External"/><Relationship Id="rId5" Type="http://schemas.openxmlformats.org/officeDocument/2006/relationships/numbering" Target="numbering.xml"/><Relationship Id="rId15" Type="http://schemas.openxmlformats.org/officeDocument/2006/relationships/hyperlink" Target="https://internt.slu.se/stod-service/externfinansierin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t.slu.se/stod-service/admin-stod/ekonomi/ekonomihandboken/ekonomihandboken-kap-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C582D3C0FFC247AAE43C7AF1FCBD50" ma:contentTypeVersion="7" ma:contentTypeDescription="Skapa ett nytt dokument." ma:contentTypeScope="" ma:versionID="5eaf01473e6c0ccbcc103da75caf4f65">
  <xsd:schema xmlns:xsd="http://www.w3.org/2001/XMLSchema" xmlns:xs="http://www.w3.org/2001/XMLSchema" xmlns:p="http://schemas.microsoft.com/office/2006/metadata/properties" xmlns:ns1="http://schemas.microsoft.com/sharepoint/v3" xmlns:ns2="5105f12a-77f8-414d-a865-ccd8399b4c91" xmlns:ns3="http://schemas.microsoft.com/sharepoint/v4" targetNamespace="http://schemas.microsoft.com/office/2006/metadata/properties" ma:root="true" ma:fieldsID="c5a218f189ed959e9e1ddd6fc43b9540" ns1:_="" ns2:_="" ns3:_="">
    <xsd:import namespace="http://schemas.microsoft.com/sharepoint/v3"/>
    <xsd:import namespace="5105f12a-77f8-414d-a865-ccd8399b4c91"/>
    <xsd:import namespace="http://schemas.microsoft.com/sharepoint/v4"/>
    <xsd:element name="properties">
      <xsd:complexType>
        <xsd:sequence>
          <xsd:element name="documentManagement">
            <xsd:complexType>
              <xsd:all>
                <xsd:element ref="ns2:Kommentar"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post - Avsändare" ma:hidden="true" ma:internalName="EmailSender">
      <xsd:simpleType>
        <xsd:restriction base="dms:Note">
          <xsd:maxLength value="255"/>
        </xsd:restriction>
      </xsd:simpleType>
    </xsd:element>
    <xsd:element name="EmailTo" ma:index="10" nillable="true" ma:displayName="E-post - Till" ma:hidden="true" ma:internalName="EmailTo">
      <xsd:simpleType>
        <xsd:restriction base="dms:Note">
          <xsd:maxLength value="255"/>
        </xsd:restriction>
      </xsd:simpleType>
    </xsd:element>
    <xsd:element name="EmailCc" ma:index="11" nillable="true" ma:displayName="E-post - Kopia" ma:hidden="true" ma:internalName="EmailCc">
      <xsd:simpleType>
        <xsd:restriction base="dms:Note">
          <xsd:maxLength value="255"/>
        </xsd:restriction>
      </xsd:simpleType>
    </xsd:element>
    <xsd:element name="EmailFrom" ma:index="12" nillable="true" ma:displayName="E-post - Från" ma:hidden="true" ma:internalName="EmailFrom">
      <xsd:simpleType>
        <xsd:restriction base="dms:Text"/>
      </xsd:simpleType>
    </xsd:element>
    <xsd:element name="EmailSubject" ma:index="13" nillable="true" ma:displayName="E-post - Ämne"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5f12a-77f8-414d-a865-ccd8399b4c91" elementFormDefault="qualified">
    <xsd:import namespace="http://schemas.microsoft.com/office/2006/documentManagement/types"/>
    <xsd:import namespace="http://schemas.microsoft.com/office/infopath/2007/PartnerControls"/>
    <xsd:element name="Kommentar" ma:index="8" nillable="true" ma:displayName="Kommentar" ma:internalName="Komment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postrubriker"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Kommentar xmlns="5105f12a-77f8-414d-a865-ccd8399b4c91" xsi:nil="true"/>
    <EmailCc xmlns="http://schemas.microsoft.com/sharepoint/v3" xsi:nil="true"/>
    <EmailHeaders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9904-2DFC-4FB1-AC28-D1AEC539F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05f12a-77f8-414d-a865-ccd8399b4c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EFCFD-1EFE-4475-B6A3-40C53B7AC6BA}">
  <ds:schemaRefs>
    <ds:schemaRef ds:uri="http://schemas.microsoft.com/sharepoint/v3/contenttype/forms"/>
  </ds:schemaRefs>
</ds:datastoreItem>
</file>

<file path=customXml/itemProps3.xml><?xml version="1.0" encoding="utf-8"?>
<ds:datastoreItem xmlns:ds="http://schemas.openxmlformats.org/officeDocument/2006/customXml" ds:itemID="{52C4AAA4-FE44-4591-B6CB-7B8A9D95B7CD}">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05f12a-77f8-414d-a865-ccd8399b4c9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069D3A8-FCE3-4CCA-9AB3-34CF80E9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C38E761B</Template>
  <TotalTime>1</TotalTime>
  <Pages>8</Pages>
  <Words>2983</Words>
  <Characters>15810</Characters>
  <Application>Microsoft Office Word</Application>
  <DocSecurity>4</DocSecurity>
  <Lines>131</Lines>
  <Paragraphs>37</Paragraphs>
  <ScaleCrop>false</ScaleCrop>
  <HeadingPairs>
    <vt:vector size="2" baseType="variant">
      <vt:variant>
        <vt:lpstr>Rubrik</vt:lpstr>
      </vt:variant>
      <vt:variant>
        <vt:i4>1</vt:i4>
      </vt:variant>
    </vt:vector>
  </HeadingPairs>
  <TitlesOfParts>
    <vt:vector size="1" baseType="lpstr">
      <vt:lpstr>SUHFs modell för indirekta kostnader vid universitet och högskolor</vt:lpstr>
    </vt:vector>
  </TitlesOfParts>
  <Company>Sveriges lantbruksuniversitet</Company>
  <LinksUpToDate>false</LinksUpToDate>
  <CharactersWithSpaces>18756</CharactersWithSpaces>
  <SharedDoc>false</SharedDoc>
  <HLinks>
    <vt:vector size="66" baseType="variant">
      <vt:variant>
        <vt:i4>1245247</vt:i4>
      </vt:variant>
      <vt:variant>
        <vt:i4>62</vt:i4>
      </vt:variant>
      <vt:variant>
        <vt:i4>0</vt:i4>
      </vt:variant>
      <vt:variant>
        <vt:i4>5</vt:i4>
      </vt:variant>
      <vt:variant>
        <vt:lpwstr/>
      </vt:variant>
      <vt:variant>
        <vt:lpwstr>_Toc242172839</vt:lpwstr>
      </vt:variant>
      <vt:variant>
        <vt:i4>1245247</vt:i4>
      </vt:variant>
      <vt:variant>
        <vt:i4>56</vt:i4>
      </vt:variant>
      <vt:variant>
        <vt:i4>0</vt:i4>
      </vt:variant>
      <vt:variant>
        <vt:i4>5</vt:i4>
      </vt:variant>
      <vt:variant>
        <vt:lpwstr/>
      </vt:variant>
      <vt:variant>
        <vt:lpwstr>_Toc242172838</vt:lpwstr>
      </vt:variant>
      <vt:variant>
        <vt:i4>1245247</vt:i4>
      </vt:variant>
      <vt:variant>
        <vt:i4>50</vt:i4>
      </vt:variant>
      <vt:variant>
        <vt:i4>0</vt:i4>
      </vt:variant>
      <vt:variant>
        <vt:i4>5</vt:i4>
      </vt:variant>
      <vt:variant>
        <vt:lpwstr/>
      </vt:variant>
      <vt:variant>
        <vt:lpwstr>_Toc242172837</vt:lpwstr>
      </vt:variant>
      <vt:variant>
        <vt:i4>1245247</vt:i4>
      </vt:variant>
      <vt:variant>
        <vt:i4>44</vt:i4>
      </vt:variant>
      <vt:variant>
        <vt:i4>0</vt:i4>
      </vt:variant>
      <vt:variant>
        <vt:i4>5</vt:i4>
      </vt:variant>
      <vt:variant>
        <vt:lpwstr/>
      </vt:variant>
      <vt:variant>
        <vt:lpwstr>_Toc242172836</vt:lpwstr>
      </vt:variant>
      <vt:variant>
        <vt:i4>1245247</vt:i4>
      </vt:variant>
      <vt:variant>
        <vt:i4>38</vt:i4>
      </vt:variant>
      <vt:variant>
        <vt:i4>0</vt:i4>
      </vt:variant>
      <vt:variant>
        <vt:i4>5</vt:i4>
      </vt:variant>
      <vt:variant>
        <vt:lpwstr/>
      </vt:variant>
      <vt:variant>
        <vt:lpwstr>_Toc242172835</vt:lpwstr>
      </vt:variant>
      <vt:variant>
        <vt:i4>1245247</vt:i4>
      </vt:variant>
      <vt:variant>
        <vt:i4>32</vt:i4>
      </vt:variant>
      <vt:variant>
        <vt:i4>0</vt:i4>
      </vt:variant>
      <vt:variant>
        <vt:i4>5</vt:i4>
      </vt:variant>
      <vt:variant>
        <vt:lpwstr/>
      </vt:variant>
      <vt:variant>
        <vt:lpwstr>_Toc242172834</vt:lpwstr>
      </vt:variant>
      <vt:variant>
        <vt:i4>1245247</vt:i4>
      </vt:variant>
      <vt:variant>
        <vt:i4>26</vt:i4>
      </vt:variant>
      <vt:variant>
        <vt:i4>0</vt:i4>
      </vt:variant>
      <vt:variant>
        <vt:i4>5</vt:i4>
      </vt:variant>
      <vt:variant>
        <vt:lpwstr/>
      </vt:variant>
      <vt:variant>
        <vt:lpwstr>_Toc242172833</vt:lpwstr>
      </vt:variant>
      <vt:variant>
        <vt:i4>1245247</vt:i4>
      </vt:variant>
      <vt:variant>
        <vt:i4>20</vt:i4>
      </vt:variant>
      <vt:variant>
        <vt:i4>0</vt:i4>
      </vt:variant>
      <vt:variant>
        <vt:i4>5</vt:i4>
      </vt:variant>
      <vt:variant>
        <vt:lpwstr/>
      </vt:variant>
      <vt:variant>
        <vt:lpwstr>_Toc242172832</vt:lpwstr>
      </vt:variant>
      <vt:variant>
        <vt:i4>1245247</vt:i4>
      </vt:variant>
      <vt:variant>
        <vt:i4>14</vt:i4>
      </vt:variant>
      <vt:variant>
        <vt:i4>0</vt:i4>
      </vt:variant>
      <vt:variant>
        <vt:i4>5</vt:i4>
      </vt:variant>
      <vt:variant>
        <vt:lpwstr/>
      </vt:variant>
      <vt:variant>
        <vt:lpwstr>_Toc242172831</vt:lpwstr>
      </vt:variant>
      <vt:variant>
        <vt:i4>1245247</vt:i4>
      </vt:variant>
      <vt:variant>
        <vt:i4>8</vt:i4>
      </vt:variant>
      <vt:variant>
        <vt:i4>0</vt:i4>
      </vt:variant>
      <vt:variant>
        <vt:i4>5</vt:i4>
      </vt:variant>
      <vt:variant>
        <vt:lpwstr/>
      </vt:variant>
      <vt:variant>
        <vt:lpwstr>_Toc242172830</vt:lpwstr>
      </vt:variant>
      <vt:variant>
        <vt:i4>1179711</vt:i4>
      </vt:variant>
      <vt:variant>
        <vt:i4>2</vt:i4>
      </vt:variant>
      <vt:variant>
        <vt:i4>0</vt:i4>
      </vt:variant>
      <vt:variant>
        <vt:i4>5</vt:i4>
      </vt:variant>
      <vt:variant>
        <vt:lpwstr/>
      </vt:variant>
      <vt:variant>
        <vt:lpwstr>_Toc242172829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SUHFs modell för indirekta kostnader vid universitet och högskolor</dc:title>
  <dc:creator>Sanita</dc:creator>
  <cp:lastModifiedBy>Jenny Kjellström</cp:lastModifiedBy>
  <cp:revision>2</cp:revision>
  <cp:lastPrinted>2014-12-04T07:43:00Z</cp:lastPrinted>
  <dcterms:created xsi:type="dcterms:W3CDTF">2019-04-18T10:47:00Z</dcterms:created>
  <dcterms:modified xsi:type="dcterms:W3CDTF">2019-04-18T10:47:00Z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0x010100EBC582D3C0FFC247AAE43C7AF1FCBD50</vt:lpwstr>
  </property>
</Properties>
</file>