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44" w:rsidRDefault="00832CC3">
      <w:pPr>
        <w:rPr>
          <w:b/>
        </w:rPr>
      </w:pPr>
      <w:bookmarkStart w:id="0" w:name="_GoBack"/>
      <w:bookmarkEnd w:id="0"/>
      <w:r w:rsidRPr="00832CC3">
        <w:rPr>
          <w:b/>
        </w:rPr>
        <w:t>Checklista för att ta emot sponsring</w:t>
      </w:r>
    </w:p>
    <w:p w:rsidR="00226011" w:rsidRPr="00CB01F9" w:rsidRDefault="00CB01F9">
      <w:r>
        <w:t xml:space="preserve">Använd checklistan om institutionen tänker </w:t>
      </w:r>
      <w:r w:rsidRPr="00BD79FF">
        <w:rPr>
          <w:i/>
        </w:rPr>
        <w:t>ta emot</w:t>
      </w:r>
      <w:r>
        <w:t xml:space="preserve"> sponsring. Det är en sammanfattning av de steg som </w:t>
      </w:r>
      <w:r w:rsidR="00405C69">
        <w:t>ska uppfyllas</w:t>
      </w:r>
      <w:r>
        <w:t xml:space="preserve"> för att följa SLU:s policy för sponsring. </w:t>
      </w:r>
      <w:r w:rsidR="00BD79FF">
        <w:t xml:space="preserve">När det gäller sponsring </w:t>
      </w:r>
      <w:r w:rsidR="00BD79FF" w:rsidRPr="00BD79FF">
        <w:rPr>
          <w:i/>
        </w:rPr>
        <w:t>från SLU</w:t>
      </w:r>
      <w:r w:rsidR="00BD79FF">
        <w:t xml:space="preserve"> till andra organisationer är det endast</w:t>
      </w:r>
      <w:r>
        <w:t xml:space="preserve"> chefen för informationsavdelningen som inom sin budget f</w:t>
      </w:r>
      <w:r w:rsidR="00405C69">
        <w:t>å</w:t>
      </w:r>
      <w:r>
        <w:t xml:space="preserve">r besluta om </w:t>
      </w:r>
      <w:r w:rsidR="00BD79FF">
        <w:t>det. Ä</w:t>
      </w:r>
      <w:r>
        <w:t xml:space="preserve">ven då ska SLU:s policy för sponsring följas. </w:t>
      </w:r>
    </w:p>
    <w:p w:rsidR="00226011" w:rsidRDefault="00226011">
      <w:pPr>
        <w:rPr>
          <w:b/>
        </w:rPr>
      </w:pPr>
    </w:p>
    <w:p w:rsidR="00832CC3" w:rsidRDefault="00832CC3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568"/>
        <w:gridCol w:w="1260"/>
      </w:tblGrid>
      <w:tr w:rsidR="00BD79FF" w:rsidRPr="00BE03ED" w:rsidTr="00BE03ED">
        <w:tc>
          <w:tcPr>
            <w:tcW w:w="8568" w:type="dxa"/>
          </w:tcPr>
          <w:p w:rsidR="00BD79FF" w:rsidRPr="00BE03ED" w:rsidRDefault="00BD79FF">
            <w:pPr>
              <w:rPr>
                <w:b/>
              </w:rPr>
            </w:pPr>
            <w:r w:rsidRPr="00BE03ED">
              <w:rPr>
                <w:b/>
              </w:rPr>
              <w:t>Krav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  <w:r w:rsidRPr="00BE03ED">
              <w:rPr>
                <w:b/>
              </w:rPr>
              <w:t>Kravet uppfylls</w:t>
            </w:r>
          </w:p>
        </w:tc>
      </w:tr>
      <w:tr w:rsidR="00BD79FF" w:rsidRPr="00BE03ED" w:rsidTr="00BE03ED">
        <w:tc>
          <w:tcPr>
            <w:tcW w:w="8568" w:type="dxa"/>
          </w:tcPr>
          <w:p w:rsidR="00BD79FF" w:rsidRPr="00BE03ED" w:rsidRDefault="00BD79FF">
            <w:pPr>
              <w:rPr>
                <w:b/>
              </w:rPr>
            </w:pPr>
            <w:r w:rsidRPr="00BE03ED">
              <w:rPr>
                <w:b/>
              </w:rPr>
              <w:t xml:space="preserve">Steg 1: Grundläggande krav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 w:rsidRPr="00226011">
              <w:t>Sponsringen är av tillfällig natur eller mindre omfattning.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 xml:space="preserve">Sponsringen får inte åsidosätta ordinarie verksamhet.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Default="00BD79FF" w:rsidP="00405C69">
            <w:r>
              <w:t>Letandet efter sponsorer får inte ta orimligt mycket tid och resurser från verksamheten.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 xml:space="preserve">Sponsorn får inte styra eller försöka påverka inriktningen på SLU:s verksamhet.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Default="00BD79FF">
            <w:r>
              <w:t xml:space="preserve">Sponsring från religiösa eller politiska organisationer får inte tas emot.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Default="00BD79FF">
            <w:r>
              <w:t xml:space="preserve">Den sponsrande organisationens etiska värderingar måste stämma överens med SLU:s uppgifter och mål.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Default="00BD79FF">
            <w:r>
              <w:t xml:space="preserve">Sponsorns affärsidé, verksamhet, och företagskontakter synas, för att förutse eventuella intressekonflikter.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Default="00BD79FF">
            <w:r>
              <w:t xml:space="preserve">Företagets skatter och sociala avgifter måste vara betalda.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 xml:space="preserve">När en nyttighet byts mot en annan, eller om SLU får produkter/tjänster som motprestation alternativt förbinder sig att köpa vissa produkter eller tjänster, tillämpas reglerna om offentlig upphandling.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9828" w:type="dxa"/>
            <w:gridSpan w:val="2"/>
          </w:tcPr>
          <w:p w:rsidR="00BD79FF" w:rsidRPr="00BE03ED" w:rsidRDefault="00BD79FF">
            <w:pPr>
              <w:rPr>
                <w:b/>
              </w:rPr>
            </w:pPr>
            <w:r w:rsidRPr="00BE03ED">
              <w:rPr>
                <w:b/>
                <w:i/>
              </w:rPr>
              <w:t xml:space="preserve">Om alla ovanstående krav är uppfyllda, och det inte föreligger risk att sponsringen skadar förtroendet för SLU:s oberoende, för vår objektivitet, för vår opartiskhet och vårt anseende, kan förkalkyl upprättas. </w:t>
            </w: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/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BE03ED" w:rsidRDefault="00BD79FF">
            <w:pPr>
              <w:rPr>
                <w:b/>
              </w:rPr>
            </w:pPr>
            <w:r w:rsidRPr="00BE03ED">
              <w:rPr>
                <w:b/>
              </w:rPr>
              <w:t>Steg 2: Upprätta förkalkyl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Default="00BD79FF" w:rsidP="00CB01F9">
            <w:r>
              <w:t xml:space="preserve">SLU:s motprestationer är, var och en för sig, kostnadsberäknade och prissatta till marknadsvärdet. </w:t>
            </w:r>
            <w:r w:rsidR="0004690E">
              <w:t>Kostnader för eventuellt inkomstbortfall samt övriga kostnader som går att hänföra till sponsringssamarbetet ska vara inräknade som en del av ersättningen för SLU:s motprestationer.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 w:rsidP="00CB01F9">
            <w:r>
              <w:t xml:space="preserve">Motprestationerna står i rimlig proportion till betalningen.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 w:rsidP="00CB01F9">
            <w:r>
              <w:t xml:space="preserve">Sponsringen får inte gå med underskott.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BE03ED" w:rsidRDefault="00BD79FF">
            <w:pPr>
              <w:rPr>
                <w:b/>
              </w:rPr>
            </w:pPr>
            <w:r>
              <w:t>Behovet av anslagsmedel får inte öka genom att sponsring tas emot eller att avgifter måste höjas som kompensation.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9828" w:type="dxa"/>
            <w:gridSpan w:val="2"/>
          </w:tcPr>
          <w:p w:rsidR="00BD79FF" w:rsidRPr="00BE03ED" w:rsidRDefault="00BD79FF" w:rsidP="00BA117C">
            <w:pPr>
              <w:rPr>
                <w:b/>
                <w:i/>
              </w:rPr>
            </w:pPr>
            <w:r w:rsidRPr="00BE03ED">
              <w:rPr>
                <w:b/>
                <w:i/>
              </w:rPr>
              <w:t xml:space="preserve">Om alla ovanstående krav är uppfyllda kan avtal upprättas. Det ska ske tillsammans med jurist på SLU:s enhet för juridik och dokumentation. </w:t>
            </w:r>
          </w:p>
        </w:tc>
      </w:tr>
      <w:tr w:rsidR="00BD79FF" w:rsidRPr="00BE03ED" w:rsidTr="00BE03ED">
        <w:tc>
          <w:tcPr>
            <w:tcW w:w="8568" w:type="dxa"/>
          </w:tcPr>
          <w:p w:rsidR="00BD79FF" w:rsidRPr="00BE03ED" w:rsidRDefault="00BD79FF">
            <w:pPr>
              <w:rPr>
                <w:b/>
              </w:rPr>
            </w:pPr>
          </w:p>
        </w:tc>
        <w:tc>
          <w:tcPr>
            <w:tcW w:w="1260" w:type="dxa"/>
          </w:tcPr>
          <w:p w:rsidR="00BD79FF" w:rsidRPr="00BE03ED" w:rsidRDefault="00BD79FF" w:rsidP="00BA117C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BE03ED" w:rsidRDefault="00BD79FF">
            <w:pPr>
              <w:rPr>
                <w:b/>
              </w:rPr>
            </w:pPr>
            <w:r w:rsidRPr="00BE03ED">
              <w:rPr>
                <w:b/>
              </w:rPr>
              <w:t xml:space="preserve">Steg 3: Upprättande av avtal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 xml:space="preserve">Avtalet gäller inte avgift, bidrag, donation eller gåva.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Default="00BD79FF">
            <w:r>
              <w:t xml:space="preserve">En sponsor får inte ges exklusiv rätt att sponsra.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Default="00BD79FF">
            <w:r>
              <w:t xml:space="preserve">Avtalet innehåller prissatta motprestationer och ömsesidiga förpliktelser.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 w:rsidP="00CB01F9">
            <w:r>
              <w:t xml:space="preserve">Motprestationerna ökar omsättningen i sponsorns näringsverksamhet.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>Avtalet innehåller uppgifter om avtalsparter, sponsringsområde, löptid, förutsättningar för uppsägning respektive förlängning av avtal.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 xml:space="preserve">Avtalet reglerar rättigheter och skyldigheter, t ex avseende sponsormedel, förmåner, tidpunkt för betalning, avvikelser mm.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rPr>
          <w:trHeight w:val="484"/>
        </w:trPr>
        <w:tc>
          <w:tcPr>
            <w:tcW w:w="8568" w:type="dxa"/>
          </w:tcPr>
          <w:p w:rsidR="00BD79FF" w:rsidRPr="00226011" w:rsidRDefault="00BD79FF">
            <w:r>
              <w:lastRenderedPageBreak/>
              <w:t xml:space="preserve">Avtalet reglerar användande av namn och symboler, hur samarbetet får nämnas vid marknadsföring, samt exponering.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 xml:space="preserve">Avtalet reglerar försäkringsfrågor, hantering vid ändrade förhållanden, återbetalning, lösning av tvist och sanktioner.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 xml:space="preserve">Avtalet bör ta upp förbehåll om att skadestånd inte kan utgå till följd av politiska beslut som påverkar SLU:s möjlighet att fullfölja avtalet.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9828" w:type="dxa"/>
            <w:gridSpan w:val="2"/>
          </w:tcPr>
          <w:p w:rsidR="00BD79FF" w:rsidRPr="00BE03ED" w:rsidRDefault="00BD79FF">
            <w:pPr>
              <w:rPr>
                <w:b/>
                <w:i/>
              </w:rPr>
            </w:pPr>
            <w:r w:rsidRPr="00BE03ED">
              <w:rPr>
                <w:b/>
                <w:i/>
              </w:rPr>
              <w:t>Om avtalet godkänns av SLU:s jurist, kan ärendet gå vidare till beslut</w:t>
            </w: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/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BE03ED" w:rsidRDefault="00BD79FF">
            <w:pPr>
              <w:rPr>
                <w:b/>
              </w:rPr>
            </w:pPr>
            <w:r w:rsidRPr="00BE03ED">
              <w:rPr>
                <w:b/>
              </w:rPr>
              <w:t>Steg 4: Beslut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 xml:space="preserve">Sponsringsavtal överstigande fyra prisbasbelopp beslutas av rektor.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 xml:space="preserve">Sponsringsavtal upp till fyra prisbasbelopp beslutas av dekan.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>Avtalet diarieförs.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Default="00BA117C">
            <w:r>
              <w:t>Insti</w:t>
            </w:r>
            <w:r w:rsidR="00C40715">
              <w:t>tutionen meddelar ekonomiavdelningen</w:t>
            </w:r>
            <w:r>
              <w:t xml:space="preserve"> att avtal är slutet. </w:t>
            </w:r>
            <w:r w:rsidR="00BD79FF">
              <w:t xml:space="preserve">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Default="00BD79FF"/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BE03ED" w:rsidRDefault="00BD79FF">
            <w:pPr>
              <w:rPr>
                <w:b/>
              </w:rPr>
            </w:pPr>
            <w:r w:rsidRPr="00BE03ED">
              <w:rPr>
                <w:b/>
              </w:rPr>
              <w:t>Steg 5: Fakturering</w:t>
            </w:r>
            <w:r w:rsidR="0004690E" w:rsidRPr="00BE03ED">
              <w:rPr>
                <w:b/>
              </w:rPr>
              <w:t>, bokföring</w:t>
            </w:r>
            <w:r w:rsidRPr="00BE03ED">
              <w:rPr>
                <w:b/>
              </w:rPr>
              <w:t xml:space="preserve"> och uppföljning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>SLU fakturerar sponsorn och moms debiteras fakturan.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A117C" w:rsidRPr="00BE03ED" w:rsidTr="00BE03ED">
        <w:tc>
          <w:tcPr>
            <w:tcW w:w="8568" w:type="dxa"/>
          </w:tcPr>
          <w:p w:rsidR="00BA117C" w:rsidRPr="00226011" w:rsidRDefault="00BA117C">
            <w:r>
              <w:t xml:space="preserve">Periodisering görs utifrån </w:t>
            </w:r>
            <w:r w:rsidRPr="00BA117C">
              <w:t>uppfyll</w:t>
            </w:r>
            <w:r>
              <w:t>else av motprestationer jämfört med bokförd intäkt.</w:t>
            </w:r>
          </w:p>
        </w:tc>
        <w:tc>
          <w:tcPr>
            <w:tcW w:w="1260" w:type="dxa"/>
          </w:tcPr>
          <w:p w:rsidR="00BA117C" w:rsidRPr="00BE03ED" w:rsidRDefault="00BA117C">
            <w:pPr>
              <w:rPr>
                <w:b/>
              </w:rPr>
            </w:pPr>
          </w:p>
        </w:tc>
      </w:tr>
      <w:tr w:rsidR="00BA117C" w:rsidRPr="00BE03ED" w:rsidTr="00BE03ED">
        <w:tc>
          <w:tcPr>
            <w:tcW w:w="8568" w:type="dxa"/>
          </w:tcPr>
          <w:p w:rsidR="00BA117C" w:rsidRPr="00226011" w:rsidRDefault="00BA117C">
            <w:r>
              <w:t>Kostnader som är att hänföra till sponsringsavtalet ska kunna härledas i redovisningen.</w:t>
            </w:r>
          </w:p>
        </w:tc>
        <w:tc>
          <w:tcPr>
            <w:tcW w:w="1260" w:type="dxa"/>
          </w:tcPr>
          <w:p w:rsidR="00BA117C" w:rsidRPr="00BE03ED" w:rsidRDefault="00BA117C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/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  <w:tr w:rsidR="00BD79FF" w:rsidRPr="00BE03ED" w:rsidTr="00BE03ED">
        <w:tc>
          <w:tcPr>
            <w:tcW w:w="8568" w:type="dxa"/>
          </w:tcPr>
          <w:p w:rsidR="00BD79FF" w:rsidRPr="00226011" w:rsidRDefault="00BD79FF">
            <w:r>
              <w:t xml:space="preserve">Avtalet följs upp och utvärderas utifrån policyn. </w:t>
            </w:r>
          </w:p>
        </w:tc>
        <w:tc>
          <w:tcPr>
            <w:tcW w:w="1260" w:type="dxa"/>
          </w:tcPr>
          <w:p w:rsidR="00BD79FF" w:rsidRPr="00BE03ED" w:rsidRDefault="00BD79FF">
            <w:pPr>
              <w:rPr>
                <w:b/>
              </w:rPr>
            </w:pPr>
          </w:p>
        </w:tc>
      </w:tr>
    </w:tbl>
    <w:p w:rsidR="00832CC3" w:rsidRPr="00832CC3" w:rsidRDefault="00832CC3">
      <w:pPr>
        <w:rPr>
          <w:b/>
        </w:rPr>
      </w:pPr>
    </w:p>
    <w:sectPr w:rsidR="00832CC3" w:rsidRPr="0083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C3"/>
    <w:rsid w:val="0004690E"/>
    <w:rsid w:val="0007679A"/>
    <w:rsid w:val="00226011"/>
    <w:rsid w:val="003D7CF8"/>
    <w:rsid w:val="00405C69"/>
    <w:rsid w:val="00451D96"/>
    <w:rsid w:val="00594648"/>
    <w:rsid w:val="005C6E44"/>
    <w:rsid w:val="00686234"/>
    <w:rsid w:val="006B78CE"/>
    <w:rsid w:val="00721445"/>
    <w:rsid w:val="007B495E"/>
    <w:rsid w:val="008176FE"/>
    <w:rsid w:val="00832CC3"/>
    <w:rsid w:val="0088547C"/>
    <w:rsid w:val="008A6F84"/>
    <w:rsid w:val="00931358"/>
    <w:rsid w:val="00A54A58"/>
    <w:rsid w:val="00BA117C"/>
    <w:rsid w:val="00BD79FF"/>
    <w:rsid w:val="00BE03ED"/>
    <w:rsid w:val="00C40715"/>
    <w:rsid w:val="00CB01F9"/>
    <w:rsid w:val="00CD4057"/>
    <w:rsid w:val="00CD6907"/>
    <w:rsid w:val="00D21C4B"/>
    <w:rsid w:val="00D27615"/>
    <w:rsid w:val="00D46B5E"/>
    <w:rsid w:val="00DB3757"/>
    <w:rsid w:val="00E33AFD"/>
    <w:rsid w:val="00E6097C"/>
    <w:rsid w:val="00F40AA0"/>
    <w:rsid w:val="00F6695C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2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2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5F24852C.dotm</Template>
  <TotalTime>0</TotalTime>
  <Pages>2</Pages>
  <Words>603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att ta emot sponsring</vt:lpstr>
    </vt:vector>
  </TitlesOfParts>
  <Company>SLU, jep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att ta emot sponsring</dc:title>
  <dc:creator>karber</dc:creator>
  <cp:lastModifiedBy>Jenny Kjellström</cp:lastModifiedBy>
  <cp:revision>2</cp:revision>
  <dcterms:created xsi:type="dcterms:W3CDTF">2017-09-06T12:23:00Z</dcterms:created>
  <dcterms:modified xsi:type="dcterms:W3CDTF">2017-09-06T12:23:00Z</dcterms:modified>
</cp:coreProperties>
</file>