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31" w:rsidRPr="00B528EE" w:rsidRDefault="00C04331" w:rsidP="00BF1928">
      <w:pPr>
        <w:keepNext/>
        <w:keepLines/>
        <w:spacing w:before="240" w:after="0" w:line="259" w:lineRule="auto"/>
        <w:rPr>
          <w:rFonts w:ascii="Cambria" w:eastAsia="Times New Roman" w:hAnsi="Cambria" w:cs="Times New Roman"/>
          <w:color w:val="365F91"/>
          <w:sz w:val="32"/>
          <w:szCs w:val="32"/>
          <w:lang w:eastAsia="sv-SE"/>
        </w:rPr>
      </w:pPr>
      <w:r w:rsidRPr="00C04331">
        <w:rPr>
          <w:rFonts w:ascii="Times New Roman" w:hAnsi="Times New Roman" w:cs="Times New Roman"/>
          <w:sz w:val="32"/>
          <w:szCs w:val="24"/>
        </w:rPr>
        <w:t>SLU:s självvärdering</w:t>
      </w:r>
      <w:r w:rsidR="00B528EE">
        <w:rPr>
          <w:rFonts w:ascii="Times New Roman" w:hAnsi="Times New Roman" w:cs="Times New Roman"/>
          <w:sz w:val="32"/>
          <w:szCs w:val="24"/>
        </w:rPr>
        <w:t xml:space="preserve"> - </w:t>
      </w:r>
      <w:r w:rsidR="00B528EE">
        <w:rPr>
          <w:rFonts w:ascii="Cambria" w:eastAsia="Times New Roman" w:hAnsi="Cambria" w:cs="Times New Roman"/>
          <w:color w:val="365F91"/>
          <w:sz w:val="32"/>
          <w:szCs w:val="32"/>
          <w:lang w:eastAsia="sv-SE"/>
        </w:rPr>
        <w:t>Innehållsförteckning</w:t>
      </w:r>
    </w:p>
    <w:sdt>
      <w:sdtPr>
        <w:rPr>
          <w:rFonts w:ascii="Calibri" w:eastAsia="Calibri" w:hAnsi="Calibri" w:cs="Times New Roman"/>
          <w:lang w:val="en-US"/>
        </w:rPr>
        <w:id w:val="1328788953"/>
        <w:docPartObj>
          <w:docPartGallery w:val="Table of Contents"/>
          <w:docPartUnique/>
        </w:docPartObj>
      </w:sdtPr>
      <w:sdtEndPr>
        <w:rPr>
          <w:b/>
          <w:bCs/>
          <w:sz w:val="16"/>
          <w:szCs w:val="16"/>
        </w:rPr>
      </w:sdtEndPr>
      <w:sdtContent>
        <w:p w:rsidR="00C04331" w:rsidRDefault="00C04331" w:rsidP="000F6661">
          <w:pPr>
            <w:keepNext/>
            <w:keepLines/>
            <w:spacing w:after="0" w:line="259" w:lineRule="auto"/>
            <w:rPr>
              <w:rFonts w:ascii="Cambria" w:eastAsia="Times New Roman" w:hAnsi="Cambria" w:cs="Times New Roman"/>
              <w:color w:val="365F91"/>
              <w:sz w:val="32"/>
              <w:szCs w:val="32"/>
              <w:lang w:eastAsia="sv-SE"/>
            </w:rPr>
          </w:pPr>
          <w:r>
            <w:rPr>
              <w:rFonts w:ascii="Cambria" w:eastAsia="Times New Roman" w:hAnsi="Cambria" w:cs="Times New Roman"/>
              <w:color w:val="365F91"/>
              <w:sz w:val="32"/>
              <w:szCs w:val="32"/>
              <w:lang w:eastAsia="sv-SE"/>
            </w:rPr>
            <w:t>Del 1</w:t>
          </w:r>
        </w:p>
        <w:p w:rsidR="00C04331" w:rsidRDefault="00C04331" w:rsidP="00B528EE">
          <w:pPr>
            <w:pStyle w:val="ListParagraph"/>
            <w:keepNext/>
            <w:keepLines/>
            <w:numPr>
              <w:ilvl w:val="0"/>
              <w:numId w:val="5"/>
            </w:numPr>
            <w:spacing w:after="0" w:line="259" w:lineRule="auto"/>
          </w:pPr>
          <w:r>
            <w:t xml:space="preserve">SLU:s </w:t>
          </w:r>
          <w:r>
            <w:t>kvalitetssystem</w:t>
          </w:r>
        </w:p>
        <w:p w:rsidR="00C04331" w:rsidRDefault="00C04331" w:rsidP="00C04331">
          <w:pPr>
            <w:pStyle w:val="ListParagraph"/>
            <w:keepNext/>
            <w:keepLines/>
            <w:numPr>
              <w:ilvl w:val="0"/>
              <w:numId w:val="5"/>
            </w:numPr>
            <w:spacing w:before="240" w:after="0" w:line="259" w:lineRule="auto"/>
          </w:pPr>
          <w:r>
            <w:t>SLU:s system för att systematiskt kvalitetssäkra och utveckla utbildningarna</w:t>
          </w:r>
        </w:p>
        <w:p w:rsidR="00C04331" w:rsidRDefault="00C04331" w:rsidP="00C04331">
          <w:pPr>
            <w:pStyle w:val="ListParagraph"/>
            <w:keepNext/>
            <w:keepLines/>
            <w:numPr>
              <w:ilvl w:val="0"/>
              <w:numId w:val="5"/>
            </w:numPr>
            <w:spacing w:before="240" w:after="0" w:line="259" w:lineRule="auto"/>
          </w:pPr>
          <w:r>
            <w:t>Övergripande plan för kvalitetssäkring av SLU:s utbildningar</w:t>
          </w:r>
        </w:p>
        <w:p w:rsidR="00C04331" w:rsidRPr="00C04331" w:rsidRDefault="00C04331" w:rsidP="00C04331">
          <w:pPr>
            <w:pStyle w:val="ListParagraph"/>
            <w:keepNext/>
            <w:keepLines/>
            <w:numPr>
              <w:ilvl w:val="0"/>
              <w:numId w:val="5"/>
            </w:numPr>
            <w:spacing w:before="240" w:after="0" w:line="259" w:lineRule="auto"/>
            <w:rPr>
              <w:rFonts w:ascii="Cambria" w:eastAsia="Times New Roman" w:hAnsi="Cambria" w:cs="Times New Roman"/>
              <w:color w:val="365F91"/>
              <w:sz w:val="32"/>
              <w:szCs w:val="32"/>
              <w:lang w:eastAsia="sv-SE"/>
            </w:rPr>
          </w:pPr>
          <w:r>
            <w:t>Belägg för att det valda tillvägagångssättet säkerställer kvaliteten i utbildningarna och identifierar ytterligare förbättringar</w:t>
          </w:r>
        </w:p>
        <w:p w:rsidR="00BF1928" w:rsidRDefault="00C04331" w:rsidP="00BF1928">
          <w:pPr>
            <w:keepNext/>
            <w:keepLines/>
            <w:spacing w:before="240" w:after="0" w:line="259" w:lineRule="auto"/>
            <w:rPr>
              <w:rFonts w:ascii="Cambria" w:eastAsia="Times New Roman" w:hAnsi="Cambria" w:cs="Times New Roman"/>
              <w:color w:val="365F91"/>
              <w:sz w:val="32"/>
              <w:szCs w:val="32"/>
              <w:lang w:eastAsia="sv-SE"/>
            </w:rPr>
          </w:pPr>
          <w:r>
            <w:rPr>
              <w:rFonts w:ascii="Cambria" w:eastAsia="Times New Roman" w:hAnsi="Cambria" w:cs="Times New Roman"/>
              <w:color w:val="365F91"/>
              <w:sz w:val="32"/>
              <w:szCs w:val="32"/>
              <w:lang w:eastAsia="sv-SE"/>
            </w:rPr>
            <w:t>D</w:t>
          </w:r>
          <w:r w:rsidR="00BF1928" w:rsidRPr="00BF1928">
            <w:rPr>
              <w:rFonts w:ascii="Cambria" w:eastAsia="Times New Roman" w:hAnsi="Cambria" w:cs="Times New Roman"/>
              <w:color w:val="365F91"/>
              <w:sz w:val="32"/>
              <w:szCs w:val="32"/>
              <w:lang w:eastAsia="sv-SE"/>
            </w:rPr>
            <w:t>el 2</w:t>
          </w:r>
        </w:p>
        <w:p w:rsidR="00BF1928" w:rsidRDefault="00BF1928" w:rsidP="00BF1928">
          <w:pPr>
            <w:widowControl w:val="0"/>
            <w:tabs>
              <w:tab w:val="left" w:pos="9072"/>
            </w:tabs>
            <w:spacing w:after="60" w:line="240" w:lineRule="auto"/>
            <w:rPr>
              <w:rFonts w:ascii="Calibri" w:eastAsia="Calibri" w:hAnsi="Calibri" w:cs="Times New Roman"/>
              <w:noProof/>
              <w:color w:val="0000FF"/>
              <w:u w:val="single"/>
              <w:lang w:val="en-US"/>
            </w:rPr>
          </w:pPr>
          <w:r w:rsidRPr="00BF1928">
            <w:rPr>
              <w:rFonts w:ascii="Calibri" w:eastAsia="Calibri" w:hAnsi="Calibri" w:cs="Times New Roman"/>
              <w:lang w:val="en-US"/>
            </w:rPr>
            <w:fldChar w:fldCharType="begin"/>
          </w:r>
          <w:r w:rsidRPr="00BF1928">
            <w:rPr>
              <w:rFonts w:ascii="Calibri" w:eastAsia="Calibri" w:hAnsi="Calibri" w:cs="Times New Roman"/>
              <w:lang w:val="en-US"/>
            </w:rPr>
            <w:instrText xml:space="preserve"> TOC \o "1-3" \h \z \u </w:instrText>
          </w:r>
          <w:r w:rsidRPr="00BF1928">
            <w:rPr>
              <w:rFonts w:ascii="Calibri" w:eastAsia="Calibri" w:hAnsi="Calibri" w:cs="Times New Roman"/>
              <w:lang w:val="en-US"/>
            </w:rPr>
            <w:fldChar w:fldCharType="separate"/>
          </w:r>
          <w:hyperlink w:anchor="_Toc6297947" w:history="1">
            <w:r w:rsidRPr="00BF1928">
              <w:rPr>
                <w:rFonts w:ascii="Calibri" w:eastAsia="Calibri" w:hAnsi="Calibri" w:cs="Times New Roman"/>
                <w:noProof/>
                <w:color w:val="0000FF"/>
                <w:u w:val="single"/>
                <w:lang w:val="en-US"/>
              </w:rPr>
              <w:t>1. Bedömningsomr</w:t>
            </w:r>
            <w:r w:rsidR="000F6661">
              <w:rPr>
                <w:rFonts w:ascii="Calibri" w:eastAsia="Calibri" w:hAnsi="Calibri" w:cs="Times New Roman"/>
                <w:noProof/>
                <w:color w:val="0000FF"/>
                <w:u w:val="single"/>
                <w:lang w:val="en-US"/>
              </w:rPr>
              <w:t>åde: Styrning och organisation</w:t>
            </w:r>
            <w:r w:rsidRPr="00BF1928">
              <w:rPr>
                <w:rFonts w:ascii="Calibri" w:eastAsia="Calibri" w:hAnsi="Calibri" w:cs="Times New Roman"/>
                <w:noProof/>
                <w:color w:val="0000FF"/>
                <w:u w:val="single"/>
                <w:lang w:val="en-US"/>
              </w:rPr>
              <w:t>………………………………………</w:t>
            </w:r>
            <w:r w:rsidR="00C04331">
              <w:rPr>
                <w:rFonts w:ascii="Calibri" w:eastAsia="Calibri" w:hAnsi="Calibri" w:cs="Times New Roman"/>
                <w:noProof/>
                <w:color w:val="0000FF"/>
                <w:u w:val="single"/>
                <w:lang w:val="en-US"/>
              </w:rPr>
              <w:t>……..</w:t>
            </w:r>
            <w:r w:rsidRPr="00BF1928">
              <w:rPr>
                <w:rFonts w:ascii="Calibri" w:eastAsia="Calibri" w:hAnsi="Calibri" w:cs="Times New Roman"/>
                <w:noProof/>
                <w:color w:val="0000FF"/>
                <w:u w:val="single"/>
                <w:lang w:val="en-US"/>
              </w:rPr>
              <w:t>……………………………</w:t>
            </w:r>
            <w:r w:rsidR="0078435D">
              <w:rPr>
                <w:rFonts w:ascii="Calibri" w:eastAsia="Calibri" w:hAnsi="Calibri" w:cs="Times New Roman"/>
                <w:noProof/>
                <w:webHidden/>
                <w:color w:val="0000FF"/>
                <w:u w:val="single"/>
                <w:lang w:val="en-US"/>
              </w:rPr>
              <w:t>7</w:t>
            </w:r>
          </w:hyperlink>
        </w:p>
        <w:p w:rsidR="00A279DD" w:rsidRDefault="00A279DD" w:rsidP="00CC179A">
          <w:pPr>
            <w:keepNext/>
            <w:keepLines/>
            <w:spacing w:after="0" w:line="259" w:lineRule="auto"/>
          </w:pPr>
          <w:r>
            <w:t xml:space="preserve">INTRODUKTION TILL SLU I FÖRHÅLLANDE TILL BEDÖMNINGSOMRÅDE 1 </w:t>
          </w:r>
        </w:p>
        <w:p w:rsidR="00A279DD" w:rsidRDefault="00A279DD" w:rsidP="00CC179A">
          <w:pPr>
            <w:pStyle w:val="ListParagraph"/>
            <w:keepNext/>
            <w:keepLines/>
            <w:numPr>
              <w:ilvl w:val="0"/>
              <w:numId w:val="6"/>
            </w:numPr>
            <w:spacing w:after="0" w:line="259" w:lineRule="auto"/>
          </w:pPr>
          <w:r>
            <w:t>SLU:s generella styrning och organisation</w:t>
          </w:r>
        </w:p>
        <w:p w:rsidR="00A279DD" w:rsidRPr="00A279DD" w:rsidRDefault="00A279DD" w:rsidP="00A279DD">
          <w:pPr>
            <w:pStyle w:val="ListParagraph"/>
            <w:keepNext/>
            <w:keepLines/>
            <w:numPr>
              <w:ilvl w:val="0"/>
              <w:numId w:val="6"/>
            </w:numPr>
            <w:spacing w:before="240" w:after="0" w:line="259" w:lineRule="auto"/>
            <w:rPr>
              <w:rFonts w:ascii="Cambria" w:eastAsia="Times New Roman" w:hAnsi="Cambria" w:cs="Times New Roman"/>
              <w:color w:val="365F91"/>
              <w:sz w:val="32"/>
              <w:szCs w:val="32"/>
              <w:lang w:eastAsia="sv-SE"/>
            </w:rPr>
          </w:pPr>
          <w:r>
            <w:t>Styrning och organisation av SLU:s utbildning</w:t>
          </w:r>
        </w:p>
        <w:p w:rsidR="00BF1928" w:rsidRPr="00BF1928" w:rsidRDefault="00AA1878" w:rsidP="00BF1928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51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1.1 Lärosätets kvalitetssystem är uppbyggt för att säkerställa kvaliteten …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11</w:t>
            </w:r>
          </w:hyperlink>
        </w:p>
        <w:p w:rsidR="00BF1928" w:rsidRPr="00BF1928" w:rsidRDefault="00AA1878" w:rsidP="00BF1928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52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1.2 Lärosätet har en kvalitetssäkringspolicy.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EA1AAE">
              <w:rPr>
                <w:rFonts w:ascii="Calibri" w:eastAsia="Calibri" w:hAnsi="Calibri" w:cs="Times New Roman"/>
                <w:noProof/>
                <w:webHidden/>
                <w:lang w:val="en-US"/>
              </w:rPr>
              <w:t>11</w:t>
            </w:r>
          </w:hyperlink>
        </w:p>
        <w:p w:rsidR="00BF1928" w:rsidRPr="00BF1928" w:rsidRDefault="00AA1878" w:rsidP="00BF1928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53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1.3 Lärosätet har en ändamålsenlig och tydligt definierad ansvarsfördelning för kvalitetsarbetet.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12</w:t>
            </w:r>
          </w:hyperlink>
        </w:p>
        <w:p w:rsidR="00BF1928" w:rsidRPr="00BF1928" w:rsidRDefault="00AA1878" w:rsidP="00BF1928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54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1.4 Lärosätet har systematiska processer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12</w:t>
            </w:r>
          </w:hyperlink>
        </w:p>
        <w:p w:rsidR="00BF1928" w:rsidRDefault="00AA1878" w:rsidP="0078435D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55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1.5 Lärosätet säkerställer att resultat och slutsatser systematiskt tas till vara.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13</w:t>
            </w:r>
          </w:hyperlink>
        </w:p>
        <w:p w:rsidR="00C04331" w:rsidRPr="00CC179A" w:rsidRDefault="00C04331" w:rsidP="00C04331">
          <w:pPr>
            <w:widowControl w:val="0"/>
            <w:tabs>
              <w:tab w:val="right" w:leader="dot" w:pos="9200"/>
            </w:tabs>
            <w:spacing w:after="60" w:line="240" w:lineRule="auto"/>
            <w:rPr>
              <w:b/>
            </w:rPr>
          </w:pPr>
          <w:r w:rsidRPr="00CC179A">
            <w:rPr>
              <w:b/>
            </w:rPr>
            <w:t>Sammanfattande analys i r</w:t>
          </w:r>
          <w:r w:rsidRPr="00CC179A">
            <w:rPr>
              <w:b/>
            </w:rPr>
            <w:t>elation till bedömningsområde 1</w:t>
          </w:r>
        </w:p>
        <w:p w:rsidR="00BF1928" w:rsidRDefault="00AA1878" w:rsidP="00BF1928">
          <w:pPr>
            <w:widowControl w:val="0"/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noProof/>
              <w:lang w:val="en-US"/>
            </w:rPr>
          </w:pPr>
          <w:hyperlink w:anchor="_Toc6297957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2. Bedömningsområde:</w:t>
            </w:r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spacing w:val="-14"/>
                <w:u w:val="single"/>
              </w:rPr>
              <w:t xml:space="preserve"> </w:t>
            </w:r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Förutsättningar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14</w:t>
            </w:r>
          </w:hyperlink>
        </w:p>
        <w:p w:rsidR="00A279DD" w:rsidRDefault="00A279DD" w:rsidP="00A279DD">
          <w:pPr>
            <w:widowControl w:val="0"/>
            <w:tabs>
              <w:tab w:val="right" w:leader="dot" w:pos="9200"/>
            </w:tabs>
            <w:spacing w:after="60" w:line="240" w:lineRule="auto"/>
          </w:pPr>
          <w:r>
            <w:t xml:space="preserve">INTRODUKTION TILL SLU I FÖRHÅLLANDE TILL BEDÖMNINGSOMRÅDE 2 </w:t>
          </w:r>
        </w:p>
        <w:p w:rsidR="00A279DD" w:rsidRDefault="00A279DD" w:rsidP="00A279DD">
          <w:pPr>
            <w:widowControl w:val="0"/>
            <w:tabs>
              <w:tab w:val="right" w:leader="dot" w:pos="9200"/>
            </w:tabs>
            <w:spacing w:after="60" w:line="240" w:lineRule="auto"/>
          </w:pPr>
          <w:r>
            <w:t>SLU:s uppdrag</w:t>
          </w:r>
        </w:p>
        <w:p w:rsidR="00A279DD" w:rsidRDefault="00A279DD" w:rsidP="000F6661">
          <w:pPr>
            <w:pStyle w:val="ListParagraph"/>
            <w:widowControl w:val="0"/>
            <w:numPr>
              <w:ilvl w:val="0"/>
              <w:numId w:val="7"/>
            </w:numPr>
            <w:tabs>
              <w:tab w:val="right" w:leader="dot" w:pos="9200"/>
            </w:tabs>
            <w:spacing w:after="60" w:line="240" w:lineRule="auto"/>
          </w:pPr>
          <w:r>
            <w:t>Utbildningsorter (campusorter) och student- och doktorandpopulationer</w:t>
          </w:r>
        </w:p>
        <w:p w:rsidR="00A279DD" w:rsidRDefault="00A279DD" w:rsidP="000F6661">
          <w:pPr>
            <w:pStyle w:val="ListParagraph"/>
            <w:widowControl w:val="0"/>
            <w:numPr>
              <w:ilvl w:val="0"/>
              <w:numId w:val="7"/>
            </w:numPr>
            <w:tabs>
              <w:tab w:val="right" w:leader="dot" w:pos="9200"/>
            </w:tabs>
            <w:spacing w:after="60" w:line="240" w:lineRule="auto"/>
          </w:pPr>
          <w:r>
            <w:t>Forskande och undervisande personal</w:t>
          </w:r>
        </w:p>
        <w:p w:rsidR="00A279DD" w:rsidRDefault="00A279DD" w:rsidP="000F6661">
          <w:pPr>
            <w:pStyle w:val="ListParagraph"/>
            <w:widowControl w:val="0"/>
            <w:numPr>
              <w:ilvl w:val="0"/>
              <w:numId w:val="7"/>
            </w:numPr>
            <w:tabs>
              <w:tab w:val="right" w:leader="dot" w:pos="9200"/>
            </w:tabs>
            <w:spacing w:after="60" w:line="240" w:lineRule="auto"/>
          </w:pPr>
          <w:r>
            <w:t>Strategiska fokusområden</w:t>
          </w:r>
        </w:p>
        <w:p w:rsidR="00A279DD" w:rsidRPr="000F6661" w:rsidRDefault="00A279DD" w:rsidP="000F6661">
          <w:pPr>
            <w:pStyle w:val="ListParagraph"/>
            <w:widowControl w:val="0"/>
            <w:numPr>
              <w:ilvl w:val="0"/>
              <w:numId w:val="7"/>
            </w:numPr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noProof/>
            </w:rPr>
          </w:pPr>
          <w:r>
            <w:t>Vision om fördubblat antal studenter</w:t>
          </w:r>
        </w:p>
        <w:p w:rsidR="00BF1928" w:rsidRDefault="00AA1878" w:rsidP="00BF1928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59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2.1 Lärosätet säkerställer den undervisande personalens kompetens.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16</w:t>
            </w:r>
          </w:hyperlink>
        </w:p>
        <w:p w:rsidR="00CA2336" w:rsidRPr="00CC179A" w:rsidRDefault="00C04331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2.1.a Kompetensförsörjningsplanering</w:t>
          </w:r>
        </w:p>
        <w:p w:rsidR="00C04331" w:rsidRPr="00CA2336" w:rsidRDefault="00C04331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2.1.b Krav vid anställning av lärare</w:t>
          </w:r>
        </w:p>
        <w:p w:rsidR="00C04331" w:rsidRPr="00CA2336" w:rsidRDefault="00C04331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2.1.c Strategisk rekrytering</w:t>
          </w:r>
        </w:p>
        <w:p w:rsidR="00C04331" w:rsidRPr="00CA2336" w:rsidRDefault="00C04331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2.1.d Krav för utnämning av docent</w:t>
          </w:r>
        </w:p>
        <w:p w:rsidR="00C04331" w:rsidRPr="00CA2336" w:rsidRDefault="00C04331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2.1.e Kompetenserkännande i form av ”excellent lärare”</w:t>
          </w:r>
          <w:r w:rsidR="00CA2336" w:rsidRPr="00CA233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C04331" w:rsidRPr="00CA2336" w:rsidRDefault="00C04331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2.1.f Kompetensutveckling</w:t>
          </w:r>
        </w:p>
        <w:p w:rsidR="00C04331" w:rsidRPr="00CA2336" w:rsidRDefault="00C04331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2.1.g Mer attraktiva lärarkarriärer</w:t>
          </w:r>
        </w:p>
        <w:p w:rsidR="00C04331" w:rsidRPr="00CA2336" w:rsidRDefault="00C04331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2.1.h Pedagogiskt pris</w:t>
          </w:r>
        </w:p>
        <w:p w:rsidR="00C04331" w:rsidRPr="00CA2336" w:rsidRDefault="00C04331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2.1.i Forskningsutvärdering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2.1.j Stödfunktioner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2.1.k Det utbildningsnära kvalitetsarbetet – resultat och åtgärder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2.1.l SLU:s systematiska kvalitetssäkring – resultat och åtgärder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60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2.2 Lärosätet säkerställer en främjande miljö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21</w:t>
            </w:r>
          </w:hyperlink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2.2.a Strategiskt fokusområde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2.2.b SLU:s värdegrund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2.2.c Fler och tryggare läraranställningar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2.2.d Plattformar, arenor och nätverk (för intern och extern samverkan)</w:t>
          </w:r>
          <w:r w:rsidR="00CA2336" w:rsidRPr="00CA233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2.2.e Stödfunktioner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2.2.f Det utbildningsnära kvalitetsarbetet – resultat och åtgärder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2.2.g SLU:s systematiska kvalitetssäkring – resultat och åtgärder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61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2.3 Lärosätet säkerställer infrastruktur, studentstöd och läranderesurser.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24</w:t>
            </w:r>
          </w:hyperlink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2.3.a Strategiska fokusområden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2.3.b Infrastruktur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2.3.c Studie- och karriärvägledning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 xml:space="preserve">2.3.d </w:t>
          </w:r>
          <w:proofErr w:type="spellStart"/>
          <w:r>
            <w:t>Lärplattformar</w:t>
          </w:r>
          <w:proofErr w:type="spellEnd"/>
          <w:r>
            <w:t xml:space="preserve"> och studentwebb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2.3.e Student- och doktorandstöd inom universitetsadministrationen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2.3.f Biblioteket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2.3.g Studiesociala grupper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2.3.h Infrastruktur, studentstöd och läranderesurser för utbildning på forskarnivå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2.3.i Det utbildningsnära kvalitetsarbetet – resultat och åtgärder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2.3.j SLU:s systematiska kvalitetssäkring – resultat och åtgärder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62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2.4 Lärosätet säkerställer att studenter och doktorander ges goda förutsättningar.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28</w:t>
            </w:r>
          </w:hyperlink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2.4.a Utbildning på grundnivå och avancerad nivå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2.4.b Forskarutbildning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2.4.c Stödfunktioner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2.4.d Det utbildningsnära kvalitetsarbetet – resultat och åtgärder</w:t>
          </w:r>
        </w:p>
        <w:p w:rsidR="00A279DD" w:rsidRPr="00CA2336" w:rsidRDefault="00A279DD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>
            <w:t>2.4.e SLU:s systematiska kvalitetssäkring – resultat och åtgärder</w:t>
          </w:r>
        </w:p>
        <w:p w:rsidR="00A279DD" w:rsidRPr="000F6661" w:rsidRDefault="00A279DD" w:rsidP="00CA2336">
          <w:pPr>
            <w:widowControl w:val="0"/>
            <w:tabs>
              <w:tab w:val="right" w:leader="dot" w:pos="9200"/>
            </w:tabs>
            <w:spacing w:after="60" w:line="240" w:lineRule="auto"/>
            <w:rPr>
              <w:b/>
            </w:rPr>
          </w:pPr>
          <w:r w:rsidRPr="000F6661">
            <w:rPr>
              <w:b/>
            </w:rPr>
            <w:t>Sammanfattande analys i r</w:t>
          </w:r>
          <w:r w:rsidRPr="000F6661">
            <w:rPr>
              <w:b/>
            </w:rPr>
            <w:t>elation till bedömningsområde 2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noProof/>
              <w:lang w:val="en-US"/>
            </w:rPr>
          </w:pPr>
          <w:hyperlink w:anchor="_Toc6297963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3. Bedömningsområde: Utformning, genomförande och resultat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33</w:t>
            </w:r>
          </w:hyperlink>
        </w:p>
        <w:p w:rsidR="00A279DD" w:rsidRDefault="00A279DD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</w:pPr>
          <w:r>
            <w:t>I</w:t>
          </w:r>
          <w:r>
            <w:t xml:space="preserve">NTRODUKTION TILL SLU I FÖRHÅLLANDE TILL BEDÖMNINGSOMRÅDE 3 </w:t>
          </w:r>
        </w:p>
        <w:p w:rsidR="00A279DD" w:rsidRDefault="00A279DD" w:rsidP="00CA2336">
          <w:pPr>
            <w:pStyle w:val="ListParagraph"/>
            <w:widowControl w:val="0"/>
            <w:numPr>
              <w:ilvl w:val="0"/>
              <w:numId w:val="8"/>
            </w:numPr>
            <w:tabs>
              <w:tab w:val="right" w:leader="dot" w:pos="9200"/>
            </w:tabs>
            <w:spacing w:after="60" w:line="240" w:lineRule="auto"/>
          </w:pPr>
          <w:r>
            <w:t>Utbildning på grundnivå och avancerad nivå</w:t>
          </w:r>
        </w:p>
        <w:p w:rsidR="00A279DD" w:rsidRPr="000F6661" w:rsidRDefault="00A279DD" w:rsidP="00CA2336">
          <w:pPr>
            <w:pStyle w:val="ListParagraph"/>
            <w:widowControl w:val="0"/>
            <w:numPr>
              <w:ilvl w:val="0"/>
              <w:numId w:val="8"/>
            </w:numPr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noProof/>
            </w:rPr>
          </w:pPr>
          <w:r>
            <w:t>Utbildning på forskarnivå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65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3.1 Lärosätet har en tydlig ansvarsfördelning samt ändamålsenliga rutiner och processer.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34</w:t>
            </w:r>
          </w:hyperlink>
        </w:p>
        <w:p w:rsidR="00BF1928" w:rsidRPr="00CC179A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 w:rsidRPr="00CC179A">
            <w:rPr>
              <w:rFonts w:ascii="Times New Roman" w:hAnsi="Times New Roman" w:cs="Times New Roman"/>
              <w:sz w:val="24"/>
              <w:szCs w:val="24"/>
            </w:rPr>
            <w:t>3.1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C179A">
            <w:rPr>
              <w:rFonts w:ascii="Times New Roman" w:hAnsi="Times New Roman" w:cs="Times New Roman"/>
              <w:sz w:val="24"/>
              <w:szCs w:val="24"/>
            </w:rPr>
            <w:t>a Rutiner och processer inom utbildning på grundnivå och avancerad nivå</w:t>
          </w:r>
        </w:p>
        <w:p w:rsidR="00BF1928" w:rsidRPr="00CC179A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 w:rsidRPr="00CC179A">
            <w:rPr>
              <w:rFonts w:ascii="Times New Roman" w:hAnsi="Times New Roman" w:cs="Times New Roman"/>
              <w:sz w:val="24"/>
              <w:szCs w:val="24"/>
            </w:rPr>
            <w:t>3.1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C179A">
            <w:rPr>
              <w:rFonts w:ascii="Times New Roman" w:hAnsi="Times New Roman" w:cs="Times New Roman"/>
              <w:sz w:val="24"/>
              <w:szCs w:val="24"/>
            </w:rPr>
            <w:t>b Rutiner och processer inom forskarutbildningen</w:t>
          </w:r>
        </w:p>
        <w:p w:rsidR="00BF1928" w:rsidRPr="00CC179A" w:rsidRDefault="00BF1928" w:rsidP="00CA2336">
          <w:pPr>
            <w:widowControl w:val="0"/>
            <w:tabs>
              <w:tab w:val="right" w:leader="dot" w:pos="9200"/>
            </w:tabs>
            <w:spacing w:after="0" w:line="240" w:lineRule="auto"/>
            <w:ind w:left="852"/>
            <w:rPr>
              <w:rFonts w:ascii="Times New Roman" w:hAnsi="Times New Roman" w:cs="Times New Roman"/>
              <w:sz w:val="24"/>
              <w:szCs w:val="24"/>
            </w:rPr>
          </w:pPr>
          <w:r w:rsidRPr="00CC179A">
            <w:rPr>
              <w:rFonts w:ascii="Times New Roman" w:hAnsi="Times New Roman" w:cs="Times New Roman"/>
              <w:sz w:val="24"/>
              <w:szCs w:val="24"/>
            </w:rPr>
            <w:t>3.1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C179A">
            <w:rPr>
              <w:rFonts w:ascii="Times New Roman" w:hAnsi="Times New Roman" w:cs="Times New Roman"/>
              <w:sz w:val="24"/>
              <w:szCs w:val="24"/>
            </w:rPr>
            <w:t xml:space="preserve">c SLU:s systematiska </w:t>
          </w:r>
          <w:proofErr w:type="gramStart"/>
          <w:r w:rsidRPr="00CC179A">
            <w:rPr>
              <w:rFonts w:ascii="Times New Roman" w:hAnsi="Times New Roman" w:cs="Times New Roman"/>
              <w:sz w:val="24"/>
              <w:szCs w:val="24"/>
            </w:rPr>
            <w:t>kvalitetssäkring  –</w:t>
          </w:r>
          <w:proofErr w:type="gramEnd"/>
          <w:r w:rsidRPr="00CC179A">
            <w:rPr>
              <w:rFonts w:ascii="Times New Roman" w:hAnsi="Times New Roman" w:cs="Times New Roman"/>
              <w:sz w:val="24"/>
              <w:szCs w:val="24"/>
            </w:rPr>
            <w:t xml:space="preserve"> resultat och åtgärder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66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3.2 Lärosätet säkerställer att studenterna uppmuntras ta en aktiv roll i lärandeprocesserna.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38</w:t>
            </w:r>
          </w:hyperlink>
        </w:p>
        <w:p w:rsidR="00BF1928" w:rsidRPr="00CC179A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 w:rsidRPr="00CC179A">
            <w:rPr>
              <w:rFonts w:ascii="Times New Roman" w:hAnsi="Times New Roman" w:cs="Times New Roman"/>
              <w:sz w:val="24"/>
              <w:szCs w:val="24"/>
            </w:rPr>
            <w:t>3.2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C179A">
            <w:rPr>
              <w:rFonts w:ascii="Times New Roman" w:hAnsi="Times New Roman" w:cs="Times New Roman"/>
              <w:sz w:val="24"/>
              <w:szCs w:val="24"/>
            </w:rPr>
            <w:t>a Rutiner och processer inom utbildning på grundnivå och avancerad nivå</w:t>
          </w:r>
        </w:p>
        <w:p w:rsidR="00BF1928" w:rsidRPr="00CC179A" w:rsidRDefault="00BF1928" w:rsidP="00CA2336">
          <w:pPr>
            <w:widowControl w:val="0"/>
            <w:tabs>
              <w:tab w:val="right" w:leader="dot" w:pos="9200"/>
            </w:tabs>
            <w:spacing w:after="0" w:line="240" w:lineRule="auto"/>
            <w:ind w:left="852"/>
            <w:rPr>
              <w:rFonts w:ascii="Times New Roman" w:hAnsi="Times New Roman" w:cs="Times New Roman"/>
              <w:sz w:val="24"/>
              <w:szCs w:val="24"/>
            </w:rPr>
          </w:pPr>
          <w:r w:rsidRPr="00CC179A">
            <w:rPr>
              <w:rFonts w:ascii="Times New Roman" w:hAnsi="Times New Roman" w:cs="Times New Roman"/>
              <w:sz w:val="24"/>
              <w:szCs w:val="24"/>
            </w:rPr>
            <w:t>3.2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C179A">
            <w:rPr>
              <w:rFonts w:ascii="Times New Roman" w:hAnsi="Times New Roman" w:cs="Times New Roman"/>
              <w:sz w:val="24"/>
              <w:szCs w:val="24"/>
            </w:rPr>
            <w:t>b Rutiner och processer inom forskarutbildningen</w:t>
          </w:r>
        </w:p>
        <w:p w:rsidR="00BF1928" w:rsidRPr="00CC179A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 w:rsidRPr="00CC179A">
            <w:rPr>
              <w:rFonts w:ascii="Times New Roman" w:hAnsi="Times New Roman" w:cs="Times New Roman"/>
              <w:sz w:val="24"/>
              <w:szCs w:val="24"/>
            </w:rPr>
            <w:t>3.2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C179A">
            <w:rPr>
              <w:rFonts w:ascii="Times New Roman" w:hAnsi="Times New Roman" w:cs="Times New Roman"/>
              <w:sz w:val="24"/>
              <w:szCs w:val="24"/>
            </w:rPr>
            <w:t>c Stödfunktioner, infrastruktur och plattformar</w:t>
          </w:r>
        </w:p>
        <w:p w:rsidR="00BF1928" w:rsidRPr="00CC179A" w:rsidRDefault="00BF1928" w:rsidP="00CA2336">
          <w:pPr>
            <w:widowControl w:val="0"/>
            <w:tabs>
              <w:tab w:val="right" w:leader="dot" w:pos="9200"/>
            </w:tabs>
            <w:spacing w:after="0" w:line="240" w:lineRule="auto"/>
            <w:ind w:left="852"/>
            <w:rPr>
              <w:rFonts w:ascii="Times New Roman" w:hAnsi="Times New Roman" w:cs="Times New Roman"/>
              <w:sz w:val="24"/>
              <w:szCs w:val="24"/>
            </w:rPr>
          </w:pPr>
          <w:r w:rsidRPr="00CC179A">
            <w:rPr>
              <w:rFonts w:ascii="Times New Roman" w:hAnsi="Times New Roman" w:cs="Times New Roman"/>
              <w:iCs/>
              <w:sz w:val="24"/>
              <w:szCs w:val="24"/>
            </w:rPr>
            <w:t>3.2</w:t>
          </w:r>
          <w:r w:rsidR="004620CC">
            <w:rPr>
              <w:rFonts w:ascii="Times New Roman" w:hAnsi="Times New Roman" w:cs="Times New Roman"/>
              <w:iCs/>
              <w:sz w:val="24"/>
              <w:szCs w:val="24"/>
            </w:rPr>
            <w:t>.d</w:t>
          </w:r>
          <w:r w:rsidRPr="00CC179A">
            <w:rPr>
              <w:rFonts w:ascii="Times New Roman" w:hAnsi="Times New Roman" w:cs="Times New Roman"/>
              <w:iCs/>
              <w:sz w:val="24"/>
              <w:szCs w:val="24"/>
            </w:rPr>
            <w:t xml:space="preserve"> Det utbildningsnära kvalitetsarbetet</w:t>
          </w:r>
          <w:r w:rsidRPr="00CC179A">
            <w:rPr>
              <w:rFonts w:ascii="Times New Roman" w:hAnsi="Times New Roman" w:cs="Times New Roman"/>
              <w:sz w:val="24"/>
              <w:szCs w:val="24"/>
            </w:rPr>
            <w:t xml:space="preserve"> – resultat och åtgärder</w:t>
          </w:r>
        </w:p>
        <w:p w:rsidR="00BF1928" w:rsidRPr="00CC179A" w:rsidRDefault="00BF1928" w:rsidP="00CA2336">
          <w:pPr>
            <w:widowControl w:val="0"/>
            <w:tabs>
              <w:tab w:val="right" w:leader="dot" w:pos="9200"/>
            </w:tabs>
            <w:spacing w:after="0" w:line="240" w:lineRule="auto"/>
            <w:ind w:left="852"/>
            <w:rPr>
              <w:rFonts w:ascii="Calibri" w:eastAsia="Calibri" w:hAnsi="Calibri" w:cs="Times New Roman"/>
              <w:noProof/>
            </w:rPr>
          </w:pPr>
          <w:r w:rsidRPr="00CC179A">
            <w:rPr>
              <w:rFonts w:ascii="Times New Roman" w:hAnsi="Times New Roman" w:cs="Times New Roman"/>
              <w:sz w:val="24"/>
              <w:szCs w:val="24"/>
            </w:rPr>
            <w:t>3.2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CC179A">
            <w:rPr>
              <w:rFonts w:ascii="Times New Roman" w:hAnsi="Times New Roman" w:cs="Times New Roman"/>
              <w:sz w:val="24"/>
              <w:szCs w:val="24"/>
            </w:rPr>
            <w:t>e SLU:s systematiska kvalitetssäkring – resultat och åtgärder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67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3.3 Lärosätet säkerställer ett nära samband mellan forskning och utbildning 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41</w:t>
            </w:r>
          </w:hyperlink>
        </w:p>
        <w:p w:rsidR="00BF1928" w:rsidRPr="000F6661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3.3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>a Forskningsanknytning inom utbildning på grundnivå och avancerad nivå</w:t>
          </w:r>
        </w:p>
        <w:p w:rsidR="00BF1928" w:rsidRPr="000F6661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3.3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>b Forskningsanknytning inom forskarutbildningen</w:t>
          </w:r>
        </w:p>
        <w:p w:rsidR="00BF1928" w:rsidRPr="000F6661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3.3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>c Stödfunktioner, framtidsplattformar och centrumbildningar</w:t>
          </w:r>
        </w:p>
        <w:p w:rsidR="00BF1928" w:rsidRPr="000F6661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iCs/>
              <w:sz w:val="24"/>
              <w:szCs w:val="24"/>
            </w:rPr>
            <w:t>3.3</w:t>
          </w:r>
          <w:r w:rsidR="004620CC">
            <w:rPr>
              <w:rFonts w:ascii="Times New Roman" w:hAnsi="Times New Roman" w:cs="Times New Roman"/>
              <w:iCs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iCs/>
              <w:sz w:val="24"/>
              <w:szCs w:val="24"/>
            </w:rPr>
            <w:t>d Det utbildningsnära kvalitetsarbetet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 xml:space="preserve"> – resultat och åtgärder</w:t>
          </w:r>
        </w:p>
        <w:p w:rsidR="00BF1928" w:rsidRPr="000F6661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3.3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>e SLU:s systematiska kvalitetssäkring – resultat och åtgärder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68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3.4 Lärosätet säkerställer en tydlig koppling mellan mål, lärandeaktiviteter och examinationer.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43</w:t>
            </w:r>
          </w:hyperlink>
        </w:p>
        <w:p w:rsidR="00BF1928" w:rsidRPr="000F6661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3.4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>a SLU-övergripande målsättningar</w:t>
          </w:r>
        </w:p>
        <w:p w:rsidR="00BF1928" w:rsidRPr="000F6661" w:rsidRDefault="00BF1928" w:rsidP="00CA2336">
          <w:pPr>
            <w:widowControl w:val="0"/>
            <w:tabs>
              <w:tab w:val="right" w:leader="dot" w:pos="9200"/>
            </w:tabs>
            <w:spacing w:after="0" w:line="240" w:lineRule="auto"/>
            <w:ind w:left="852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3.4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>b Rutiner och processer inom utbildning på grundnivå och avancerad nivå</w:t>
          </w:r>
        </w:p>
        <w:p w:rsidR="00BF1928" w:rsidRPr="000F6661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3.4.c Rutiner och processer inom forskarutbildningen</w:t>
          </w:r>
        </w:p>
        <w:p w:rsidR="00BF1928" w:rsidRPr="000F6661" w:rsidRDefault="00BF1928" w:rsidP="00CA2336">
          <w:pPr>
            <w:spacing w:after="0"/>
            <w:ind w:left="568"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iCs/>
              <w:sz w:val="24"/>
              <w:szCs w:val="24"/>
            </w:rPr>
            <w:t>3.4</w:t>
          </w:r>
          <w:r w:rsidR="004620CC">
            <w:rPr>
              <w:rFonts w:ascii="Times New Roman" w:hAnsi="Times New Roman" w:cs="Times New Roman"/>
              <w:iCs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iCs/>
              <w:sz w:val="24"/>
              <w:szCs w:val="24"/>
            </w:rPr>
            <w:t>d. Det utbildningsnära kvalitetsarbetet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 xml:space="preserve"> – resultat och åtgärder</w:t>
          </w:r>
        </w:p>
        <w:p w:rsidR="00BF1928" w:rsidRPr="000F6661" w:rsidRDefault="00BF1928" w:rsidP="00CA2336">
          <w:pPr>
            <w:widowControl w:val="0"/>
            <w:tabs>
              <w:tab w:val="right" w:leader="dot" w:pos="9200"/>
            </w:tabs>
            <w:spacing w:after="0" w:line="240" w:lineRule="auto"/>
            <w:ind w:left="852"/>
            <w:rPr>
              <w:rFonts w:ascii="Calibri" w:eastAsia="Calibri" w:hAnsi="Calibri" w:cs="Times New Roman"/>
              <w:noProof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3.4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.e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 xml:space="preserve"> SLU:s systematiska kvalitetssäkring – resultat och åtgärder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69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3.5 Utifrån kontinuerliga uppföljningar och regelbundna granskningar vidtar lärosätet åtgärder.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46</w:t>
            </w:r>
          </w:hyperlink>
        </w:p>
        <w:p w:rsidR="00BF1928" w:rsidRPr="000F6661" w:rsidRDefault="00BF1928" w:rsidP="00CA2336">
          <w:pPr>
            <w:spacing w:after="0"/>
            <w:ind w:left="284"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3.5.a SLU-övergripande uppföljningar och granskningar</w:t>
          </w:r>
        </w:p>
        <w:p w:rsidR="00BF1928" w:rsidRPr="00CF156D" w:rsidRDefault="00BF1928" w:rsidP="00CA2336">
          <w:pPr>
            <w:spacing w:after="0"/>
            <w:ind w:left="426" w:firstLine="1162"/>
            <w:rPr>
              <w:rFonts w:ascii="Times New Roman" w:hAnsi="Times New Roman" w:cs="Times New Roman"/>
            </w:rPr>
          </w:pPr>
          <w:r w:rsidRPr="00CF156D">
            <w:rPr>
              <w:rFonts w:ascii="Times New Roman" w:hAnsi="Times New Roman" w:cs="Times New Roman"/>
              <w:u w:val="single"/>
            </w:rPr>
            <w:t>3.5.a1. Samverkan för extern återkoppling</w:t>
          </w:r>
          <w:r w:rsidRPr="00CF156D">
            <w:rPr>
              <w:rFonts w:ascii="Times New Roman" w:hAnsi="Times New Roman" w:cs="Times New Roman"/>
            </w:rPr>
            <w:t xml:space="preserve"> </w:t>
          </w:r>
        </w:p>
        <w:p w:rsidR="00BF1928" w:rsidRPr="00CF156D" w:rsidRDefault="00BF1928" w:rsidP="00CA2336">
          <w:pPr>
            <w:spacing w:after="0"/>
            <w:ind w:left="426" w:firstLine="1162"/>
            <w:rPr>
              <w:rFonts w:ascii="Times New Roman" w:hAnsi="Times New Roman" w:cs="Times New Roman"/>
            </w:rPr>
          </w:pPr>
          <w:r w:rsidRPr="00CF156D">
            <w:rPr>
              <w:rFonts w:ascii="Times New Roman" w:hAnsi="Times New Roman" w:cs="Times New Roman"/>
              <w:u w:val="single"/>
            </w:rPr>
            <w:t>3.5.a2. Verktyg för intern strukturerad uppföljning</w:t>
          </w:r>
        </w:p>
        <w:p w:rsidR="00BF1928" w:rsidRPr="000F6661" w:rsidRDefault="00BF1928" w:rsidP="00CA2336">
          <w:pPr>
            <w:spacing w:after="0"/>
            <w:ind w:left="426" w:firstLine="142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3.5.b Uppföljningar och granskningar inom utbildning på grundnivå och avancerad nivå</w:t>
          </w:r>
        </w:p>
        <w:p w:rsidR="00BF1928" w:rsidRDefault="00BF1928" w:rsidP="00CA2336">
          <w:pPr>
            <w:spacing w:after="0"/>
            <w:ind w:left="426" w:firstLine="116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3.5.b1 </w:t>
          </w:r>
          <w:r w:rsidRPr="00C47539">
            <w:rPr>
              <w:rFonts w:ascii="Times New Roman" w:hAnsi="Times New Roman" w:cs="Times New Roman"/>
            </w:rPr>
            <w:t xml:space="preserve">Genomströmning </w:t>
          </w:r>
        </w:p>
        <w:p w:rsidR="00BF1928" w:rsidRDefault="00BF1928" w:rsidP="00CA2336">
          <w:pPr>
            <w:spacing w:after="0"/>
            <w:ind w:left="426" w:firstLine="1162"/>
            <w:rPr>
              <w:rFonts w:ascii="Times New Roman" w:hAnsi="Times New Roman" w:cs="Times New Roman"/>
            </w:rPr>
          </w:pPr>
          <w:r w:rsidRPr="005729FF">
            <w:rPr>
              <w:rFonts w:ascii="Times New Roman" w:hAnsi="Times New Roman" w:cs="Times New Roman"/>
            </w:rPr>
            <w:t>3</w:t>
          </w:r>
          <w:r>
            <w:rPr>
              <w:rFonts w:ascii="Times New Roman" w:hAnsi="Times New Roman" w:cs="Times New Roman"/>
            </w:rPr>
            <w:t>.5.</w:t>
          </w:r>
          <w:r w:rsidRPr="005729FF">
            <w:rPr>
              <w:rFonts w:ascii="Times New Roman" w:hAnsi="Times New Roman" w:cs="Times New Roman"/>
            </w:rPr>
            <w:t>b2 Kursvärderinga</w:t>
          </w:r>
          <w:r>
            <w:rPr>
              <w:rFonts w:ascii="Times New Roman" w:hAnsi="Times New Roman" w:cs="Times New Roman"/>
            </w:rPr>
            <w:t>r</w:t>
          </w:r>
        </w:p>
        <w:p w:rsidR="00696947" w:rsidRDefault="00BF1928" w:rsidP="00CA2336">
          <w:pPr>
            <w:spacing w:after="0"/>
            <w:ind w:left="426" w:firstLine="1162"/>
            <w:rPr>
              <w:rFonts w:ascii="Times New Roman" w:hAnsi="Times New Roman" w:cs="Times New Roman"/>
              <w:i/>
            </w:rPr>
          </w:pPr>
          <w:r w:rsidRPr="005729FF">
            <w:rPr>
              <w:rFonts w:ascii="Times New Roman" w:hAnsi="Times New Roman" w:cs="Times New Roman"/>
            </w:rPr>
            <w:t>3.</w:t>
          </w:r>
          <w:r>
            <w:rPr>
              <w:rFonts w:ascii="Times New Roman" w:hAnsi="Times New Roman" w:cs="Times New Roman"/>
            </w:rPr>
            <w:t>5.</w:t>
          </w:r>
          <w:r w:rsidRPr="005729FF">
            <w:rPr>
              <w:rFonts w:ascii="Times New Roman" w:hAnsi="Times New Roman" w:cs="Times New Roman"/>
            </w:rPr>
            <w:t>b3 Andra återkommande uppföljningar</w:t>
          </w:r>
        </w:p>
        <w:p w:rsidR="00696947" w:rsidRPr="000F6661" w:rsidRDefault="00696947" w:rsidP="00CA2336">
          <w:pPr>
            <w:spacing w:after="0"/>
            <w:ind w:left="284" w:firstLine="284"/>
            <w:rPr>
              <w:rFonts w:ascii="Times New Roman" w:hAnsi="Times New Roman" w:cs="Times New Roman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3.5.c Uppföljningar och granskningar inom forskarutbildningen</w:t>
          </w:r>
        </w:p>
        <w:p w:rsidR="00696947" w:rsidRPr="000F6661" w:rsidRDefault="00696947" w:rsidP="00CA2336">
          <w:pPr>
            <w:spacing w:after="0"/>
            <w:ind w:left="284"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iCs/>
              <w:sz w:val="24"/>
              <w:szCs w:val="24"/>
            </w:rPr>
            <w:t>3.5</w:t>
          </w:r>
          <w:r w:rsidR="004620CC">
            <w:rPr>
              <w:rFonts w:ascii="Times New Roman" w:hAnsi="Times New Roman" w:cs="Times New Roman"/>
              <w:iCs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iCs/>
              <w:sz w:val="24"/>
              <w:szCs w:val="24"/>
            </w:rPr>
            <w:t>d Det utbildningsnära kvalitetsarbetet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 xml:space="preserve"> – resultat och åtgärder </w:t>
          </w:r>
        </w:p>
        <w:p w:rsidR="00BF1928" w:rsidRPr="000F6661" w:rsidRDefault="00696947" w:rsidP="00CA2336">
          <w:pPr>
            <w:spacing w:after="0"/>
            <w:ind w:left="284" w:firstLine="284"/>
            <w:rPr>
              <w:rFonts w:ascii="Times New Roman" w:hAnsi="Times New Roman" w:cs="Times New Roman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3.5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.e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 xml:space="preserve"> SLU:s systematiska kvalitetssäkring – resultat och åtgärder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70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3.6 Lärosätet säkerställer att granskningsresultat publiceras och att åtgärder kommuniceras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54</w:t>
            </w:r>
          </w:hyperlink>
        </w:p>
        <w:p w:rsidR="00696947" w:rsidRPr="000F6661" w:rsidRDefault="00696947" w:rsidP="00CA2336">
          <w:pPr>
            <w:spacing w:before="120" w:after="0"/>
            <w:ind w:left="284"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iCs/>
              <w:sz w:val="24"/>
              <w:szCs w:val="24"/>
            </w:rPr>
            <w:t>3.6</w:t>
          </w:r>
          <w:r w:rsidR="004620CC">
            <w:rPr>
              <w:rFonts w:ascii="Times New Roman" w:hAnsi="Times New Roman" w:cs="Times New Roman"/>
              <w:iCs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iCs/>
              <w:sz w:val="24"/>
              <w:szCs w:val="24"/>
            </w:rPr>
            <w:t>a Det utbildningsnära kvalitetsarbetet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 xml:space="preserve"> – resultat och åtgärder</w:t>
          </w:r>
        </w:p>
        <w:p w:rsidR="00696947" w:rsidRPr="000F6661" w:rsidRDefault="00696947" w:rsidP="00CA2336">
          <w:pPr>
            <w:widowControl w:val="0"/>
            <w:tabs>
              <w:tab w:val="right" w:leader="dot" w:pos="9200"/>
            </w:tabs>
            <w:spacing w:after="0" w:line="240" w:lineRule="auto"/>
            <w:ind w:left="568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3.6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>b SLU:s systematiska kvalitetssäkring – resultat och åtgärder</w:t>
          </w:r>
        </w:p>
        <w:p w:rsidR="00CC179A" w:rsidRPr="00B528EE" w:rsidRDefault="00CC179A" w:rsidP="00CA2336">
          <w:pPr>
            <w:widowControl w:val="0"/>
            <w:tabs>
              <w:tab w:val="right" w:leader="dot" w:pos="9200"/>
            </w:tabs>
            <w:spacing w:after="0" w:line="240" w:lineRule="auto"/>
            <w:rPr>
              <w:rFonts w:ascii="Calibri" w:eastAsia="Calibri" w:hAnsi="Calibri" w:cs="Times New Roman"/>
              <w:b/>
              <w:noProof/>
            </w:rPr>
          </w:pPr>
          <w:r w:rsidRPr="00B528EE">
            <w:rPr>
              <w:b/>
            </w:rPr>
            <w:t>Sammanfattande analys i r</w:t>
          </w:r>
          <w:r w:rsidRPr="00B528EE">
            <w:rPr>
              <w:b/>
            </w:rPr>
            <w:t>elation till bedömningsområde 3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noProof/>
              <w:lang w:val="en-US"/>
            </w:rPr>
          </w:pPr>
          <w:hyperlink w:anchor="_Toc6297971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4. Bedömningsområde: Jämställdhet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55</w:t>
            </w:r>
          </w:hyperlink>
        </w:p>
        <w:p w:rsidR="00696947" w:rsidRPr="00BF1928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noProof/>
            </w:rPr>
          </w:pPr>
          <w:r>
            <w:t>INTRODUKTION TILL SLU I FÖRHÅLLANDE TILL BEDÖMNINGSOMRÅDE 4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73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4.1 Lärosätet säkerställer ett systematiskt arbete med att beakta jämställdhet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56</w:t>
            </w:r>
          </w:hyperlink>
        </w:p>
        <w:p w:rsidR="00CC179A" w:rsidRPr="000F6661" w:rsidRDefault="00CC179A" w:rsidP="00CA2336">
          <w:pPr>
            <w:spacing w:after="0"/>
            <w:ind w:left="284" w:firstLine="142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4.1.a Universitetsövergripande rutiner och processer</w:t>
          </w:r>
        </w:p>
        <w:p w:rsidR="00CC179A" w:rsidRPr="00D0582C" w:rsidRDefault="00CC179A" w:rsidP="00CA2336">
          <w:pPr>
            <w:spacing w:before="80" w:after="0"/>
            <w:ind w:left="142" w:firstLine="1162"/>
            <w:rPr>
              <w:rFonts w:ascii="Times New Roman" w:hAnsi="Times New Roman" w:cs="Times New Roman"/>
            </w:rPr>
          </w:pPr>
          <w:r w:rsidRPr="00D0582C">
            <w:rPr>
              <w:rFonts w:ascii="Times New Roman" w:hAnsi="Times New Roman" w:cs="Times New Roman"/>
            </w:rPr>
            <w:t>4.1.a1 Kartläggning och forskning</w:t>
          </w:r>
        </w:p>
        <w:p w:rsidR="00CC179A" w:rsidRPr="00D0582C" w:rsidRDefault="00CC179A" w:rsidP="00CA2336">
          <w:pPr>
            <w:spacing w:after="0"/>
            <w:ind w:left="142" w:firstLine="1162"/>
            <w:rPr>
              <w:rFonts w:ascii="Times New Roman" w:hAnsi="Times New Roman" w:cs="Times New Roman"/>
            </w:rPr>
          </w:pPr>
          <w:r w:rsidRPr="00D0582C">
            <w:rPr>
              <w:rFonts w:ascii="Times New Roman" w:hAnsi="Times New Roman" w:cs="Times New Roman"/>
            </w:rPr>
            <w:t>4.1.a2 Jämställdhetsintegrering</w:t>
          </w:r>
        </w:p>
        <w:p w:rsidR="00CC179A" w:rsidRPr="00D0582C" w:rsidRDefault="00CC179A" w:rsidP="00CA2336">
          <w:pPr>
            <w:spacing w:after="0"/>
            <w:ind w:left="142" w:firstLine="1162"/>
            <w:rPr>
              <w:rFonts w:ascii="Times New Roman" w:hAnsi="Times New Roman" w:cs="Times New Roman"/>
            </w:rPr>
          </w:pPr>
          <w:r w:rsidRPr="00D0582C">
            <w:rPr>
              <w:rFonts w:ascii="Times New Roman" w:hAnsi="Times New Roman" w:cs="Times New Roman"/>
            </w:rPr>
            <w:t>4.1.a3 Jämställdhetsperspektiv inom rekryteringsprocessen</w:t>
          </w:r>
        </w:p>
        <w:p w:rsidR="00CC179A" w:rsidRDefault="00CC179A" w:rsidP="00CA2336">
          <w:pPr>
            <w:spacing w:after="0"/>
            <w:ind w:left="142" w:firstLine="1162"/>
            <w:rPr>
              <w:rFonts w:ascii="Times New Roman" w:hAnsi="Times New Roman" w:cs="Times New Roman"/>
            </w:rPr>
          </w:pPr>
          <w:r w:rsidRPr="00D0582C">
            <w:rPr>
              <w:rFonts w:ascii="Times New Roman" w:hAnsi="Times New Roman" w:cs="Times New Roman"/>
            </w:rPr>
            <w:t xml:space="preserve">4.1.a4 Jämställdhet i övriga högskolepedagogiska kurser och rådgivning </w:t>
          </w:r>
        </w:p>
        <w:p w:rsidR="00CC179A" w:rsidRPr="00D0582C" w:rsidRDefault="00CC179A" w:rsidP="00CA2336">
          <w:pPr>
            <w:spacing w:after="0"/>
            <w:ind w:left="142" w:firstLine="1162"/>
            <w:rPr>
              <w:rFonts w:ascii="Times New Roman" w:hAnsi="Times New Roman" w:cs="Times New Roman"/>
            </w:rPr>
          </w:pPr>
          <w:r>
            <w:t>4.1.a5 Lika villkorsarbete</w:t>
          </w:r>
        </w:p>
        <w:p w:rsidR="00CC179A" w:rsidRPr="000F6661" w:rsidRDefault="00CC179A" w:rsidP="00CA2336">
          <w:pPr>
            <w:spacing w:after="0"/>
            <w:ind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sz w:val="24"/>
              <w:szCs w:val="24"/>
            </w:rPr>
            <w:t>4.1</w:t>
          </w:r>
          <w:r w:rsidR="004620C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>b Rutiner och processer inom utbildning på grundnivå och avancerad nivå</w:t>
          </w:r>
        </w:p>
        <w:p w:rsidR="00CC179A" w:rsidRPr="000F6661" w:rsidRDefault="00CC179A" w:rsidP="00CA2336">
          <w:pPr>
            <w:spacing w:after="0"/>
            <w:ind w:firstLine="284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eastAsia="Times New Roman" w:hAnsi="Times New Roman" w:cs="Times New Roman"/>
              <w:sz w:val="24"/>
              <w:szCs w:val="24"/>
            </w:rPr>
            <w:t>4.1</w:t>
          </w:r>
          <w:r w:rsidR="004620CC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r w:rsidRPr="000F66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c 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>Rutiner och processer inom</w:t>
          </w:r>
          <w:r w:rsidRPr="000F6661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utbildning på forskarnivå</w:t>
          </w:r>
        </w:p>
        <w:p w:rsidR="00CC179A" w:rsidRPr="000F6661" w:rsidRDefault="00CC179A" w:rsidP="00CA2336">
          <w:pPr>
            <w:spacing w:after="0"/>
            <w:ind w:firstLine="284"/>
            <w:rPr>
              <w:rFonts w:ascii="Times New Roman" w:hAnsi="Times New Roman" w:cs="Times New Roman"/>
              <w:sz w:val="24"/>
              <w:szCs w:val="24"/>
            </w:rPr>
          </w:pPr>
          <w:r w:rsidRPr="000F6661">
            <w:rPr>
              <w:rFonts w:ascii="Times New Roman" w:hAnsi="Times New Roman" w:cs="Times New Roman"/>
              <w:iCs/>
              <w:sz w:val="24"/>
              <w:szCs w:val="24"/>
            </w:rPr>
            <w:t>4.1</w:t>
          </w:r>
          <w:r w:rsidR="004620CC">
            <w:rPr>
              <w:rFonts w:ascii="Times New Roman" w:hAnsi="Times New Roman" w:cs="Times New Roman"/>
              <w:iCs/>
              <w:sz w:val="24"/>
              <w:szCs w:val="24"/>
            </w:rPr>
            <w:t>.</w:t>
          </w:r>
          <w:r w:rsidRPr="000F6661">
            <w:rPr>
              <w:rFonts w:ascii="Times New Roman" w:hAnsi="Times New Roman" w:cs="Times New Roman"/>
              <w:iCs/>
              <w:sz w:val="24"/>
              <w:szCs w:val="24"/>
            </w:rPr>
            <w:t>d Det utbildningsnära kvalitetsarbetet</w:t>
          </w:r>
          <w:r w:rsidRPr="000F6661">
            <w:rPr>
              <w:rFonts w:ascii="Times New Roman" w:hAnsi="Times New Roman" w:cs="Times New Roman"/>
              <w:sz w:val="24"/>
              <w:szCs w:val="24"/>
            </w:rPr>
            <w:t xml:space="preserve"> – resultat och åtgärder</w:t>
          </w:r>
        </w:p>
        <w:p w:rsidR="00CC179A" w:rsidRDefault="00CC179A" w:rsidP="00CA2336">
          <w:pPr>
            <w:spacing w:after="0"/>
            <w:ind w:firstLine="284"/>
          </w:pPr>
          <w:r>
            <w:t>4.1.e SLU:s systematiska kvalitetssäkring – resultat och åtgärder</w:t>
          </w:r>
        </w:p>
        <w:p w:rsidR="00CC179A" w:rsidRPr="000F6661" w:rsidRDefault="00CC179A" w:rsidP="00CA2336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F6661">
            <w:rPr>
              <w:b/>
            </w:rPr>
            <w:t>Sammanfattande analys i r</w:t>
          </w:r>
          <w:r w:rsidR="000F6661" w:rsidRPr="000F6661">
            <w:rPr>
              <w:b/>
            </w:rPr>
            <w:t>elation till bedömningsområde 4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noProof/>
              <w:lang w:val="en-US"/>
            </w:rPr>
          </w:pPr>
          <w:hyperlink w:anchor="_Toc6297974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5. Bedömningsområde: Student- och doktorandperspektiv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61</w:t>
            </w:r>
          </w:hyperlink>
        </w:p>
        <w:p w:rsidR="00CC179A" w:rsidRP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noProof/>
            </w:rPr>
          </w:pPr>
          <w:r>
            <w:t>INTRODUKTION TILL SLU I FÖRHÅLLANDE TILL BEDÖMNINGSOMRÅDE 5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76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5.1 Lärosätet säkerställer att studenter och doktorander kan utöva inflytande över utbildningen.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63</w:t>
            </w:r>
          </w:hyperlink>
        </w:p>
        <w:p w:rsid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</w:pPr>
          <w:r>
            <w:t>5.1.a Universitetsövergripande rutiner och processer</w:t>
          </w:r>
        </w:p>
        <w:p w:rsid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</w:pPr>
          <w:r>
            <w:t>5.1.b Rutiner och processer inom utbildning på grundnivå och avancerad nivå</w:t>
          </w:r>
        </w:p>
        <w:p w:rsid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</w:pPr>
          <w:r>
            <w:t>5.1.c Rutiner och processer inom utbildning på forskarnivå</w:t>
          </w:r>
        </w:p>
        <w:p w:rsid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</w:pPr>
          <w:r>
            <w:t>5.1.d Det utbildningsnära kvalitetsarbetet – resultat och åtgärder</w:t>
          </w:r>
        </w:p>
        <w:p w:rsid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</w:pPr>
          <w:r>
            <w:t>5.1.e SLU:s systematiska kvalitetssäkring – resultat och åtgärder</w:t>
          </w:r>
        </w:p>
        <w:p w:rsidR="00CC179A" w:rsidRPr="00B528EE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b/>
              <w:noProof/>
            </w:rPr>
          </w:pPr>
          <w:r w:rsidRPr="00B528EE">
            <w:rPr>
              <w:b/>
            </w:rPr>
            <w:t>Sammanfattande analys i r</w:t>
          </w:r>
          <w:r w:rsidR="00B528EE" w:rsidRPr="00B528EE">
            <w:rPr>
              <w:b/>
            </w:rPr>
            <w:t>elation till bedömningsområde 5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noProof/>
              <w:lang w:val="en-US"/>
            </w:rPr>
          </w:pPr>
          <w:hyperlink w:anchor="_Toc6297977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6. Bedömningsområde: Arbetsliv och samverkan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 w:rsidR="0078435D">
              <w:rPr>
                <w:rFonts w:ascii="Calibri" w:eastAsia="Calibri" w:hAnsi="Calibri" w:cs="Times New Roman"/>
                <w:noProof/>
                <w:webHidden/>
                <w:lang w:val="en-US"/>
              </w:rPr>
              <w:t>66</w:t>
            </w:r>
          </w:hyperlink>
        </w:p>
        <w:p w:rsidR="00CC179A" w:rsidRP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noProof/>
            </w:rPr>
          </w:pPr>
          <w:r>
            <w:t>INTRODUKTION TILL SLU I FÖRHÅLLANDE TILL BEDÖMNINGSOMRÅDE 6</w:t>
          </w:r>
        </w:p>
        <w:p w:rsidR="00BF1928" w:rsidRDefault="00AA1878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  <w:rPr>
              <w:rFonts w:ascii="Calibri" w:eastAsia="Calibri" w:hAnsi="Calibri" w:cs="Times New Roman"/>
              <w:noProof/>
              <w:lang w:val="en-US"/>
            </w:rPr>
          </w:pPr>
          <w:hyperlink w:anchor="_Toc6297979" w:history="1">
            <w:r w:rsidR="00BF1928" w:rsidRPr="00BF1928">
              <w:rPr>
                <w:rFonts w:ascii="Calibri" w:eastAsia="Calibri" w:hAnsi="Calibri" w:cs="Times New Roman"/>
                <w:noProof/>
                <w:color w:val="0000FF"/>
                <w:u w:val="single"/>
              </w:rPr>
              <w:t>6.1 Lärosätet säkerställer att utbildningarna utvecklar studenternas och doktorandernas beredskap att möta förändringar i arbetslivet.</w:t>
            </w:r>
            <w:r w:rsidR="00BF1928" w:rsidRPr="00BF1928">
              <w:rPr>
                <w:rFonts w:ascii="Calibri" w:eastAsia="Calibri" w:hAnsi="Calibri" w:cs="Times New Roman"/>
                <w:noProof/>
                <w:webHidden/>
                <w:lang w:val="en-US"/>
              </w:rPr>
              <w:tab/>
            </w:r>
            <w:r>
              <w:rPr>
                <w:rFonts w:ascii="Calibri" w:eastAsia="Calibri" w:hAnsi="Calibri" w:cs="Times New Roman"/>
                <w:noProof/>
                <w:webHidden/>
                <w:lang w:val="en-US"/>
              </w:rPr>
              <w:t>68</w:t>
            </w:r>
          </w:hyperlink>
        </w:p>
        <w:p w:rsid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</w:pPr>
          <w:r>
            <w:t>6.1.a SLU-övergripande</w:t>
          </w:r>
        </w:p>
        <w:p w:rsid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</w:pPr>
          <w:r>
            <w:t>6.1.b Utbildning på grundnivå och avancerad nivå</w:t>
          </w:r>
        </w:p>
        <w:p w:rsid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</w:pPr>
          <w:r>
            <w:t>6.1.c Forskarutbildning</w:t>
          </w:r>
        </w:p>
        <w:p w:rsid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</w:pPr>
          <w:r>
            <w:t>6.1.d Det utbildningsnära kvalitetsarbetet – resultat och åtgärder</w:t>
          </w:r>
        </w:p>
        <w:p w:rsidR="00CC179A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ind w:left="284"/>
          </w:pPr>
          <w:r>
            <w:t>6.1.e SLU:s systematiska kvalitetssäkring – resultat och åtgärder</w:t>
          </w:r>
        </w:p>
        <w:p w:rsidR="00CC179A" w:rsidRPr="000F6661" w:rsidRDefault="00CC179A" w:rsidP="00CA2336">
          <w:pPr>
            <w:widowControl w:val="0"/>
            <w:tabs>
              <w:tab w:val="right" w:leader="dot" w:pos="9200"/>
            </w:tabs>
            <w:spacing w:after="60" w:line="240" w:lineRule="auto"/>
            <w:rPr>
              <w:rFonts w:ascii="Calibri" w:eastAsia="Calibri" w:hAnsi="Calibri" w:cs="Times New Roman"/>
              <w:b/>
              <w:noProof/>
            </w:rPr>
          </w:pPr>
          <w:r w:rsidRPr="000F6661">
            <w:rPr>
              <w:b/>
            </w:rPr>
            <w:t>Sammanfattande analys i relation till bedömningsområde 6</w:t>
          </w:r>
        </w:p>
        <w:p w:rsidR="00BF1928" w:rsidRPr="00BF1928" w:rsidRDefault="00BF1928" w:rsidP="00BF1928">
          <w:pPr>
            <w:widowControl w:val="0"/>
            <w:spacing w:after="0" w:line="240" w:lineRule="auto"/>
            <w:rPr>
              <w:rFonts w:ascii="Calibri" w:eastAsia="Calibri" w:hAnsi="Calibri" w:cs="Times New Roman"/>
              <w:b/>
              <w:bCs/>
              <w:sz w:val="16"/>
              <w:szCs w:val="16"/>
              <w:lang w:val="en-US"/>
            </w:rPr>
          </w:pPr>
          <w:r w:rsidRPr="00BF1928">
            <w:rPr>
              <w:rFonts w:ascii="Calibri" w:eastAsia="Calibri" w:hAnsi="Calibri" w:cs="Times New Roman"/>
              <w:b/>
              <w:bCs/>
              <w:lang w:val="en-US"/>
            </w:rPr>
            <w:fldChar w:fldCharType="end"/>
          </w:r>
        </w:p>
      </w:sdtContent>
    </w:sdt>
    <w:p w:rsidR="007D4D7A" w:rsidRPr="00F97B62" w:rsidRDefault="007D4D7A" w:rsidP="00254101">
      <w:bookmarkStart w:id="0" w:name="_GoBack"/>
      <w:bookmarkEnd w:id="0"/>
    </w:p>
    <w:sectPr w:rsidR="007D4D7A" w:rsidRPr="00F97B62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13" w:rsidRDefault="00416013" w:rsidP="00B65B3A">
      <w:pPr>
        <w:spacing w:after="0" w:line="240" w:lineRule="auto"/>
      </w:pPr>
      <w:r>
        <w:separator/>
      </w:r>
    </w:p>
    <w:p w:rsidR="00416013" w:rsidRDefault="00416013"/>
  </w:endnote>
  <w:endnote w:type="continuationSeparator" w:id="0">
    <w:p w:rsidR="00416013" w:rsidRDefault="00416013" w:rsidP="00B65B3A">
      <w:pPr>
        <w:spacing w:after="0" w:line="240" w:lineRule="auto"/>
      </w:pPr>
      <w:r>
        <w:continuationSeparator/>
      </w:r>
    </w:p>
    <w:p w:rsidR="00416013" w:rsidRDefault="004160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13" w:rsidRDefault="00416013" w:rsidP="00B65B3A">
      <w:pPr>
        <w:spacing w:after="0" w:line="240" w:lineRule="auto"/>
      </w:pPr>
      <w:r>
        <w:separator/>
      </w:r>
    </w:p>
  </w:footnote>
  <w:footnote w:type="continuationSeparator" w:id="0">
    <w:p w:rsidR="00416013" w:rsidRDefault="0041601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Header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410CC6"/>
    <w:multiLevelType w:val="hybridMultilevel"/>
    <w:tmpl w:val="927873BA"/>
    <w:lvl w:ilvl="0" w:tplc="48741DE2">
      <w:start w:val="2019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FAE3450"/>
    <w:multiLevelType w:val="hybridMultilevel"/>
    <w:tmpl w:val="56A67B5C"/>
    <w:lvl w:ilvl="0" w:tplc="48741DE2">
      <w:start w:val="20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84CE7"/>
    <w:multiLevelType w:val="hybridMultilevel"/>
    <w:tmpl w:val="066EFEFA"/>
    <w:lvl w:ilvl="0" w:tplc="39225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238A0"/>
    <w:multiLevelType w:val="hybridMultilevel"/>
    <w:tmpl w:val="0C4AC24A"/>
    <w:lvl w:ilvl="0" w:tplc="F600E6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28"/>
    <w:rsid w:val="00002EF2"/>
    <w:rsid w:val="00017F5C"/>
    <w:rsid w:val="0002287F"/>
    <w:rsid w:val="0003125C"/>
    <w:rsid w:val="0005173A"/>
    <w:rsid w:val="00053E90"/>
    <w:rsid w:val="000D0FE3"/>
    <w:rsid w:val="000F5E03"/>
    <w:rsid w:val="000F6661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1E4E2F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6013"/>
    <w:rsid w:val="00417F51"/>
    <w:rsid w:val="004210DE"/>
    <w:rsid w:val="004227D9"/>
    <w:rsid w:val="00426CA6"/>
    <w:rsid w:val="004332BF"/>
    <w:rsid w:val="004343E5"/>
    <w:rsid w:val="0045434E"/>
    <w:rsid w:val="004620CC"/>
    <w:rsid w:val="00463513"/>
    <w:rsid w:val="004B6550"/>
    <w:rsid w:val="00505276"/>
    <w:rsid w:val="00521C3B"/>
    <w:rsid w:val="0052484B"/>
    <w:rsid w:val="005267B8"/>
    <w:rsid w:val="00574CAE"/>
    <w:rsid w:val="005B5620"/>
    <w:rsid w:val="005F5CEA"/>
    <w:rsid w:val="006049CB"/>
    <w:rsid w:val="0060679E"/>
    <w:rsid w:val="006114A3"/>
    <w:rsid w:val="006323DC"/>
    <w:rsid w:val="00633F86"/>
    <w:rsid w:val="00695E24"/>
    <w:rsid w:val="00696947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8435D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279DD"/>
    <w:rsid w:val="00A47A74"/>
    <w:rsid w:val="00A73167"/>
    <w:rsid w:val="00A82303"/>
    <w:rsid w:val="00A8595D"/>
    <w:rsid w:val="00AA1878"/>
    <w:rsid w:val="00AA5A49"/>
    <w:rsid w:val="00AC0BC2"/>
    <w:rsid w:val="00AD1A0A"/>
    <w:rsid w:val="00AF5948"/>
    <w:rsid w:val="00B30794"/>
    <w:rsid w:val="00B528EE"/>
    <w:rsid w:val="00B54D19"/>
    <w:rsid w:val="00B65B3A"/>
    <w:rsid w:val="00BA0E41"/>
    <w:rsid w:val="00BD281F"/>
    <w:rsid w:val="00BF1046"/>
    <w:rsid w:val="00BF1928"/>
    <w:rsid w:val="00BF5EBE"/>
    <w:rsid w:val="00C04331"/>
    <w:rsid w:val="00C07176"/>
    <w:rsid w:val="00C26923"/>
    <w:rsid w:val="00C32E09"/>
    <w:rsid w:val="00C56D4E"/>
    <w:rsid w:val="00C62AB9"/>
    <w:rsid w:val="00C84384"/>
    <w:rsid w:val="00C87604"/>
    <w:rsid w:val="00CA2336"/>
    <w:rsid w:val="00CB57EA"/>
    <w:rsid w:val="00CC179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A1AAE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6D68F0B"/>
  <w15:chartTrackingRefBased/>
  <w15:docId w15:val="{3C5D99FE-15F2-471A-A3E5-A44EE52E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3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331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4331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04331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0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C0433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04331"/>
  </w:style>
  <w:style w:type="character" w:customStyle="1" w:styleId="Heading1Char">
    <w:name w:val="Heading 1 Char"/>
    <w:basedOn w:val="DefaultParagraphFont"/>
    <w:link w:val="Heading1"/>
    <w:uiPriority w:val="9"/>
    <w:rsid w:val="00C04331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4331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4331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C04331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C0433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C04331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31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C04331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04331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C043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C04331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C04331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C04331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C04331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C04331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C04331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C04331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C04331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C04331"/>
    <w:rPr>
      <w:i/>
      <w:iCs/>
    </w:rPr>
  </w:style>
  <w:style w:type="paragraph" w:styleId="TOC4">
    <w:name w:val="toc 4"/>
    <w:basedOn w:val="Normal"/>
    <w:next w:val="Normal"/>
    <w:uiPriority w:val="99"/>
    <w:semiHidden/>
    <w:rsid w:val="00C04331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C04331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C04331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C04331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C04331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C04331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C04331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C043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C04331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C04331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C04331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C04331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C04331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C04331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C0433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C04331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C04331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C04331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C04331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C04331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C04331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C04331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C04331"/>
    <w:pPr>
      <w:ind w:right="4111"/>
    </w:pPr>
  </w:style>
  <w:style w:type="character" w:styleId="Strong">
    <w:name w:val="Strong"/>
    <w:basedOn w:val="DefaultParagraphFont"/>
    <w:uiPriority w:val="1"/>
    <w:rsid w:val="00C04331"/>
    <w:rPr>
      <w:b/>
      <w:bCs/>
    </w:rPr>
  </w:style>
  <w:style w:type="table" w:customStyle="1" w:styleId="Sidfottabell">
    <w:name w:val="Sidfot tabell"/>
    <w:basedOn w:val="TableNormal"/>
    <w:uiPriority w:val="99"/>
    <w:rsid w:val="00C04331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04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331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433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C04331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C04331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C04331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C04331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C04331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C04331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C04331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C04331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rsid w:val="00C0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29B0EAC9-A3E7-425D-8437-440D5700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1325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Hansson</dc:creator>
  <cp:keywords/>
  <dc:description/>
  <cp:lastModifiedBy>Lotta Hansson</cp:lastModifiedBy>
  <cp:revision>9</cp:revision>
  <cp:lastPrinted>2019-05-21T12:14:00Z</cp:lastPrinted>
  <dcterms:created xsi:type="dcterms:W3CDTF">2019-05-21T12:12:00Z</dcterms:created>
  <dcterms:modified xsi:type="dcterms:W3CDTF">2019-05-21T12:36:00Z</dcterms:modified>
</cp:coreProperties>
</file>