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A517" w14:textId="5CF31787" w:rsidR="0063327C" w:rsidRPr="00B23B7F" w:rsidRDefault="009C60F6">
      <w:pPr>
        <w:rPr>
          <w:rFonts w:ascii="Arial" w:hAnsi="Arial" w:cs="Arial"/>
          <w:b/>
        </w:rPr>
      </w:pPr>
      <w:r>
        <w:rPr>
          <w:rFonts w:ascii="Arial" w:hAnsi="Arial"/>
          <w:b/>
        </w:rPr>
        <w:t>INTERNATIONAL SUMMER COURSES (BACHELOR’S AND MASTER’S LEVEL</w:t>
      </w:r>
      <w:proofErr w:type="gramStart"/>
      <w:r w:rsidR="003D33CD">
        <w:rPr>
          <w:rFonts w:ascii="Arial" w:hAnsi="Arial"/>
          <w:b/>
        </w:rPr>
        <w:t>)</w:t>
      </w:r>
      <w:proofErr w:type="gramEnd"/>
      <w:r w:rsidR="003D33CD">
        <w:rPr>
          <w:rFonts w:ascii="Arial" w:hAnsi="Arial" w:cs="Arial"/>
          <w:b/>
        </w:rPr>
        <w:br/>
      </w:r>
      <w:r w:rsidR="003D33CD">
        <w:rPr>
          <w:rFonts w:ascii="Arial" w:hAnsi="Arial"/>
          <w:b/>
        </w:rPr>
        <w:t xml:space="preserve">AT THE FACULTY OF LANDSCAPE ARCHITECTURE, HORTICULTURE AND CROP PRODUCTION SCIENCE </w:t>
      </w:r>
    </w:p>
    <w:p w14:paraId="6C71A449" w14:textId="77777777" w:rsidR="008A0C95" w:rsidRDefault="008A0C95">
      <w:pPr>
        <w:rPr>
          <w:rFonts w:ascii="Arial" w:hAnsi="Arial"/>
          <w:sz w:val="18"/>
        </w:rPr>
      </w:pPr>
    </w:p>
    <w:p w14:paraId="6501FA3D" w14:textId="320CDC15" w:rsidR="00B61347" w:rsidRPr="005B0C75" w:rsidRDefault="00B23B7F">
      <w:pPr>
        <w:rPr>
          <w:rFonts w:ascii="Arial" w:hAnsi="Arial" w:cs="Arial"/>
          <w:sz w:val="18"/>
          <w:szCs w:val="18"/>
        </w:rPr>
      </w:pPr>
      <w:r>
        <w:rPr>
          <w:rFonts w:ascii="Arial" w:hAnsi="Arial"/>
          <w:sz w:val="18"/>
        </w:rPr>
        <w:t>Each year, the Swedish University of Agricultural Sciences offers international summer courses, which usually take place over the course of a few weeks in the summer.</w:t>
      </w:r>
      <w:r w:rsidR="009C60F6">
        <w:rPr>
          <w:rFonts w:ascii="Arial" w:hAnsi="Arial"/>
          <w:sz w:val="18"/>
        </w:rPr>
        <w:t xml:space="preserve"> </w:t>
      </w:r>
      <w:r>
        <w:rPr>
          <w:rFonts w:ascii="Arial" w:hAnsi="Arial"/>
          <w:sz w:val="18"/>
        </w:rPr>
        <w:t>This procedure is to ensure that these courses are delivered consistently and in accordance with the law, and also provides support to course leaders in terms of what to bear in mind when they want to hold an international summer course.</w:t>
      </w:r>
    </w:p>
    <w:p w14:paraId="15AAAB02" w14:textId="60EFE642" w:rsidR="001223B7" w:rsidRPr="001223B7" w:rsidRDefault="001223B7" w:rsidP="00B61347">
      <w:pPr>
        <w:rPr>
          <w:rFonts w:ascii="Arial" w:hAnsi="Arial" w:cs="Arial"/>
          <w:sz w:val="18"/>
          <w:szCs w:val="18"/>
        </w:rPr>
      </w:pPr>
      <w:r>
        <w:rPr>
          <w:rFonts w:ascii="Arial" w:hAnsi="Arial"/>
          <w:sz w:val="18"/>
        </w:rPr>
        <w:t xml:space="preserve">SLU prioritises cooperation within the networks </w:t>
      </w:r>
      <w:hyperlink r:id="rId11">
        <w:r>
          <w:rPr>
            <w:rStyle w:val="Hyperlink"/>
            <w:rFonts w:ascii="Arial" w:hAnsi="Arial"/>
            <w:sz w:val="18"/>
          </w:rPr>
          <w:t xml:space="preserve">NOVA (BOVA) </w:t>
        </w:r>
      </w:hyperlink>
      <w:r>
        <w:rPr>
          <w:rFonts w:ascii="Arial" w:hAnsi="Arial"/>
          <w:sz w:val="18"/>
        </w:rPr>
        <w:t xml:space="preserve">and </w:t>
      </w:r>
      <w:hyperlink r:id="rId12">
        <w:r>
          <w:rPr>
            <w:rStyle w:val="Hyperlink"/>
            <w:rFonts w:ascii="Arial" w:hAnsi="Arial"/>
            <w:sz w:val="18"/>
          </w:rPr>
          <w:t>ELLS</w:t>
        </w:r>
      </w:hyperlink>
      <w:r>
        <w:rPr>
          <w:rFonts w:ascii="Arial" w:hAnsi="Arial"/>
          <w:sz w:val="18"/>
        </w:rPr>
        <w:t xml:space="preserve">. The SLU staff </w:t>
      </w:r>
      <w:r w:rsidR="009C60F6">
        <w:rPr>
          <w:rFonts w:ascii="Arial" w:hAnsi="Arial"/>
          <w:sz w:val="18"/>
        </w:rPr>
        <w:t>web</w:t>
      </w:r>
      <w:r>
        <w:rPr>
          <w:rFonts w:ascii="Arial" w:hAnsi="Arial"/>
          <w:sz w:val="18"/>
        </w:rPr>
        <w:t xml:space="preserve"> contains </w:t>
      </w:r>
      <w:hyperlink r:id="rId13">
        <w:r>
          <w:rPr>
            <w:rStyle w:val="Hyperlink"/>
            <w:rFonts w:ascii="Arial" w:hAnsi="Arial"/>
            <w:sz w:val="18"/>
          </w:rPr>
          <w:t>more information about international educational cooperation</w:t>
        </w:r>
      </w:hyperlink>
      <w:r>
        <w:rPr>
          <w:rFonts w:ascii="Arial" w:hAnsi="Arial"/>
          <w:sz w:val="18"/>
        </w:rPr>
        <w:t>, but the following is a brief summary of these sources of funding.</w:t>
      </w:r>
    </w:p>
    <w:p w14:paraId="53EB6DFC" w14:textId="310B768B" w:rsidR="00B67C1D" w:rsidRPr="00B67C1D" w:rsidRDefault="001223B7" w:rsidP="00B67C1D">
      <w:pPr>
        <w:pStyle w:val="ListParagraph"/>
        <w:numPr>
          <w:ilvl w:val="0"/>
          <w:numId w:val="2"/>
        </w:numPr>
        <w:rPr>
          <w:rFonts w:ascii="Arial" w:hAnsi="Arial" w:cs="Arial"/>
          <w:sz w:val="18"/>
          <w:szCs w:val="18"/>
        </w:rPr>
      </w:pPr>
      <w:r>
        <w:rPr>
          <w:rFonts w:ascii="Arial" w:hAnsi="Arial"/>
          <w:sz w:val="18"/>
        </w:rPr>
        <w:t xml:space="preserve">NOVA: No funding specifically for summer schools, but it is possible to obtain funding for a NOVA course at </w:t>
      </w:r>
      <w:r w:rsidR="009C60F6">
        <w:rPr>
          <w:rFonts w:ascii="Arial" w:hAnsi="Arial"/>
          <w:sz w:val="18"/>
        </w:rPr>
        <w:t>Master’s</w:t>
      </w:r>
      <w:r>
        <w:rPr>
          <w:rFonts w:ascii="Arial" w:hAnsi="Arial"/>
          <w:sz w:val="18"/>
        </w:rPr>
        <w:t xml:space="preserve"> or </w:t>
      </w:r>
      <w:r w:rsidR="009C60F6">
        <w:rPr>
          <w:rFonts w:ascii="Arial" w:hAnsi="Arial"/>
          <w:sz w:val="18"/>
        </w:rPr>
        <w:t>doctoral</w:t>
      </w:r>
      <w:r>
        <w:rPr>
          <w:rFonts w:ascii="Arial" w:hAnsi="Arial"/>
          <w:sz w:val="18"/>
        </w:rPr>
        <w:t xml:space="preserve"> level, if the planning is “joint Nordic” and if students from two NOVA member universities other than that at which the course is held are participating (minimum of 12 students). Applications concerning PhD courses and master's courses above EUR 5,000 have three application deadlines per year (February, May, </w:t>
      </w:r>
      <w:proofErr w:type="gramStart"/>
      <w:r>
        <w:rPr>
          <w:rFonts w:ascii="Arial" w:hAnsi="Arial"/>
          <w:sz w:val="18"/>
        </w:rPr>
        <w:t>October</w:t>
      </w:r>
      <w:proofErr w:type="gramEnd"/>
      <w:r>
        <w:rPr>
          <w:rFonts w:ascii="Arial" w:hAnsi="Arial"/>
          <w:sz w:val="18"/>
        </w:rPr>
        <w:t>). For other master's courses and projects below the above-mentioned cost threshold, applications are reviewed continuously.</w:t>
      </w:r>
    </w:p>
    <w:p w14:paraId="15AAAB05" w14:textId="3245D709" w:rsidR="001223B7" w:rsidRPr="00B67C1D" w:rsidRDefault="001223B7" w:rsidP="00B67C1D">
      <w:pPr>
        <w:pStyle w:val="ListParagraph"/>
        <w:numPr>
          <w:ilvl w:val="0"/>
          <w:numId w:val="2"/>
        </w:numPr>
        <w:rPr>
          <w:rFonts w:ascii="Arial" w:hAnsi="Arial" w:cs="Arial"/>
          <w:sz w:val="18"/>
          <w:szCs w:val="18"/>
        </w:rPr>
      </w:pPr>
      <w:r>
        <w:rPr>
          <w:rFonts w:ascii="Arial" w:hAnsi="Arial"/>
          <w:sz w:val="18"/>
        </w:rPr>
        <w:t xml:space="preserve">ELLS’ application round for summer courses the following year closes on 30/8. ELLS has an excellent </w:t>
      </w:r>
      <w:hyperlink r:id="rId14">
        <w:r>
          <w:rPr>
            <w:rStyle w:val="Hyperlink"/>
            <w:rFonts w:ascii="Arial" w:hAnsi="Arial"/>
            <w:sz w:val="18"/>
          </w:rPr>
          <w:t>manual</w:t>
        </w:r>
      </w:hyperlink>
      <w:r>
        <w:rPr>
          <w:rFonts w:ascii="Arial" w:hAnsi="Arial"/>
          <w:sz w:val="18"/>
        </w:rPr>
        <w:t xml:space="preserve"> setting out what to bear in mind when organising summer schools.</w:t>
      </w:r>
    </w:p>
    <w:p w14:paraId="00DFA491" w14:textId="222F0E1D" w:rsidR="008A0C95" w:rsidRPr="008A0C95" w:rsidRDefault="001223B7" w:rsidP="008A0C95">
      <w:pPr>
        <w:pStyle w:val="ListParagraph"/>
        <w:numPr>
          <w:ilvl w:val="0"/>
          <w:numId w:val="2"/>
        </w:numPr>
        <w:rPr>
          <w:rFonts w:ascii="Arial" w:hAnsi="Arial" w:cs="Arial"/>
          <w:sz w:val="18"/>
          <w:szCs w:val="18"/>
        </w:rPr>
      </w:pPr>
      <w:r>
        <w:rPr>
          <w:rFonts w:ascii="Arial" w:hAnsi="Arial"/>
          <w:sz w:val="18"/>
        </w:rPr>
        <w:t>Within the Erasmus+ programme, it is possible to apply for funding for summer schools as part of a university network (Strategic Partners)</w:t>
      </w:r>
    </w:p>
    <w:p w14:paraId="3CADEBA8" w14:textId="77777777" w:rsidR="008A0C95" w:rsidRDefault="008A0C95">
      <w:pPr>
        <w:rPr>
          <w:rFonts w:ascii="Arial" w:hAnsi="Arial"/>
          <w:i/>
          <w:sz w:val="18"/>
        </w:rPr>
      </w:pPr>
    </w:p>
    <w:p w14:paraId="15AAAB08" w14:textId="7A62709A" w:rsidR="001223B7" w:rsidRDefault="001223B7">
      <w:pPr>
        <w:rPr>
          <w:rFonts w:ascii="Arial" w:hAnsi="Arial" w:cs="Arial"/>
          <w:i/>
          <w:sz w:val="18"/>
          <w:szCs w:val="18"/>
        </w:rPr>
      </w:pPr>
      <w:r>
        <w:rPr>
          <w:rFonts w:ascii="Arial" w:hAnsi="Arial"/>
          <w:i/>
          <w:sz w:val="18"/>
        </w:rPr>
        <w:t xml:space="preserve">An employee who wants to hold an international summer course has to discuss this with the department's director of undergraduate studies. The head of department is informed by course leaders/directors of undergraduate studies (depending on the departmental procedures). If the course is intended to attract students from SLU, it is also appropriate to discuss the course with the programme directors of studies concerned. </w:t>
      </w:r>
    </w:p>
    <w:p w14:paraId="1EFAF91F" w14:textId="25847E89" w:rsidR="0063327C" w:rsidRPr="0063327C" w:rsidRDefault="0063327C">
      <w:pPr>
        <w:rPr>
          <w:rFonts w:ascii="Arial" w:hAnsi="Arial" w:cs="Arial"/>
          <w:i/>
          <w:sz w:val="18"/>
          <w:szCs w:val="18"/>
        </w:rPr>
      </w:pPr>
      <w:r>
        <w:rPr>
          <w:rFonts w:ascii="Arial" w:hAnsi="Arial"/>
          <w:i/>
          <w:sz w:val="18"/>
        </w:rPr>
        <w:t>Note that if you wish to take in a certain number of students from certain universities, there must be an exchange agreement in place. Admissions officers at Ultuna handle all aspects regarding selection and admission so it is very important that the admission requirements and selection criteria are correctly worded. The Education Centre provides help with this.</w:t>
      </w:r>
    </w:p>
    <w:p w14:paraId="7E159063" w14:textId="77777777" w:rsidR="008A0C95" w:rsidRDefault="008A0C95">
      <w:pPr>
        <w:rPr>
          <w:rFonts w:ascii="Arial" w:hAnsi="Arial"/>
          <w:b/>
          <w:sz w:val="18"/>
        </w:rPr>
      </w:pPr>
    </w:p>
    <w:p w14:paraId="15AAAB09" w14:textId="44EECA38" w:rsidR="003763EC" w:rsidRPr="003763EC" w:rsidRDefault="003763EC">
      <w:pPr>
        <w:rPr>
          <w:rFonts w:ascii="Arial" w:hAnsi="Arial" w:cs="Arial"/>
          <w:b/>
          <w:sz w:val="18"/>
          <w:szCs w:val="18"/>
        </w:rPr>
      </w:pPr>
      <w:r>
        <w:rPr>
          <w:rFonts w:ascii="Arial" w:hAnsi="Arial"/>
          <w:b/>
          <w:sz w:val="18"/>
        </w:rPr>
        <w:t>As international summer courses are usually conceived and planned closer to the course date than the regular programme courses, these courses have deadlines a year later than is the case for other courses.</w:t>
      </w:r>
    </w:p>
    <w:tbl>
      <w:tblPr>
        <w:tblStyle w:val="TableGrid"/>
        <w:tblW w:w="0" w:type="auto"/>
        <w:tblLook w:val="04A0" w:firstRow="1" w:lastRow="0" w:firstColumn="1" w:lastColumn="0" w:noHBand="0" w:noVBand="1"/>
      </w:tblPr>
      <w:tblGrid>
        <w:gridCol w:w="2235"/>
        <w:gridCol w:w="6945"/>
      </w:tblGrid>
      <w:tr w:rsidR="009915B1" w:rsidRPr="00895CB9" w14:paraId="15AAAB0B" w14:textId="77777777" w:rsidTr="005F59D5">
        <w:tc>
          <w:tcPr>
            <w:tcW w:w="9180" w:type="dxa"/>
            <w:gridSpan w:val="2"/>
            <w:shd w:val="clear" w:color="auto" w:fill="F79646" w:themeFill="accent6"/>
          </w:tcPr>
          <w:p w14:paraId="15AAAB0A" w14:textId="77777777" w:rsidR="009915B1" w:rsidRPr="00036EFE" w:rsidRDefault="00204EF5" w:rsidP="00204EF5">
            <w:pPr>
              <w:rPr>
                <w:rFonts w:ascii="Arial" w:hAnsi="Arial" w:cs="Arial"/>
                <w:sz w:val="18"/>
                <w:szCs w:val="18"/>
              </w:rPr>
            </w:pPr>
            <w:r>
              <w:rPr>
                <w:rFonts w:ascii="Arial" w:hAnsi="Arial"/>
                <w:b/>
                <w:sz w:val="18"/>
              </w:rPr>
              <w:t>The calendar year prior to the start of course – year N-1</w:t>
            </w:r>
          </w:p>
        </w:tc>
      </w:tr>
      <w:tr w:rsidR="009915B1" w:rsidRPr="00BC1E98" w14:paraId="15AAAB0D" w14:textId="77777777" w:rsidTr="005F59D5">
        <w:tc>
          <w:tcPr>
            <w:tcW w:w="9180" w:type="dxa"/>
            <w:gridSpan w:val="2"/>
            <w:shd w:val="clear" w:color="auto" w:fill="1F497D" w:themeFill="text2"/>
          </w:tcPr>
          <w:p w14:paraId="15AAAB0C" w14:textId="212D11D8" w:rsidR="009915B1" w:rsidRPr="009915B1" w:rsidRDefault="00657893" w:rsidP="008135F8">
            <w:pPr>
              <w:rPr>
                <w:rFonts w:ascii="Arial" w:hAnsi="Arial" w:cs="Arial"/>
                <w:b/>
                <w:sz w:val="18"/>
                <w:szCs w:val="18"/>
              </w:rPr>
            </w:pPr>
            <w:r>
              <w:rPr>
                <w:rFonts w:ascii="Arial" w:hAnsi="Arial"/>
                <w:b/>
                <w:color w:val="FFFFFF" w:themeColor="background1"/>
                <w:sz w:val="18"/>
              </w:rPr>
              <w:t>May/June</w:t>
            </w:r>
          </w:p>
        </w:tc>
      </w:tr>
      <w:tr w:rsidR="000E5740" w:rsidRPr="009C6FE7" w14:paraId="15AAAB10" w14:textId="77777777" w:rsidTr="005F59D5">
        <w:tc>
          <w:tcPr>
            <w:tcW w:w="2235" w:type="dxa"/>
          </w:tcPr>
          <w:p w14:paraId="15AAAB0E" w14:textId="77777777" w:rsidR="000E5740" w:rsidRDefault="00D12B22">
            <w:pPr>
              <w:rPr>
                <w:rFonts w:ascii="Arial" w:hAnsi="Arial" w:cs="Arial"/>
                <w:sz w:val="18"/>
                <w:szCs w:val="18"/>
              </w:rPr>
            </w:pPr>
            <w:r>
              <w:rPr>
                <w:rFonts w:ascii="Arial" w:hAnsi="Arial"/>
                <w:sz w:val="18"/>
              </w:rPr>
              <w:t xml:space="preserve">Proposal </w:t>
            </w:r>
          </w:p>
        </w:tc>
        <w:tc>
          <w:tcPr>
            <w:tcW w:w="6945" w:type="dxa"/>
          </w:tcPr>
          <w:p w14:paraId="15AAAB0F" w14:textId="4F8290A2" w:rsidR="000E5740" w:rsidRDefault="007E54D7" w:rsidP="008A0C95">
            <w:pPr>
              <w:rPr>
                <w:rFonts w:ascii="Arial" w:hAnsi="Arial" w:cs="Arial"/>
                <w:b/>
                <w:sz w:val="18"/>
                <w:szCs w:val="18"/>
              </w:rPr>
            </w:pPr>
            <w:r>
              <w:rPr>
                <w:rFonts w:ascii="Arial" w:hAnsi="Arial"/>
                <w:sz w:val="18"/>
              </w:rPr>
              <w:t xml:space="preserve">In conjunction with the first discussions about a framework schedule (academic year N/N+1), the director of undergraduate studies </w:t>
            </w:r>
            <w:r w:rsidR="008A0C95">
              <w:rPr>
                <w:rFonts w:ascii="Arial" w:hAnsi="Arial"/>
                <w:sz w:val="18"/>
              </w:rPr>
              <w:t xml:space="preserve">at the department </w:t>
            </w:r>
            <w:r>
              <w:rPr>
                <w:rFonts w:ascii="Arial" w:hAnsi="Arial"/>
                <w:sz w:val="18"/>
              </w:rPr>
              <w:t>provide information about an intended international summer course (year N) (title, number of credits, conte</w:t>
            </w:r>
            <w:r w:rsidR="008A0C95">
              <w:rPr>
                <w:rFonts w:ascii="Arial" w:hAnsi="Arial"/>
                <w:sz w:val="18"/>
              </w:rPr>
              <w:t xml:space="preserve">nts, target group, times, etc.) to the faculty programme director </w:t>
            </w:r>
            <w:r w:rsidR="008A0C95">
              <w:rPr>
                <w:rFonts w:ascii="Arial" w:hAnsi="Arial"/>
                <w:sz w:val="18"/>
              </w:rPr>
              <w:t>and any concerned programme directors of studies</w:t>
            </w:r>
          </w:p>
        </w:tc>
      </w:tr>
      <w:tr w:rsidR="00FA4F3B" w:rsidRPr="00BC1E98" w14:paraId="15AAAB12" w14:textId="77777777" w:rsidTr="005F59D5">
        <w:tc>
          <w:tcPr>
            <w:tcW w:w="9180" w:type="dxa"/>
            <w:gridSpan w:val="2"/>
            <w:shd w:val="clear" w:color="auto" w:fill="1F497D" w:themeFill="text2"/>
          </w:tcPr>
          <w:p w14:paraId="15AAAB11" w14:textId="3362AD50" w:rsidR="00FA4F3B" w:rsidRPr="00FA4F3B" w:rsidRDefault="002F25C4" w:rsidP="002F25C4">
            <w:pPr>
              <w:rPr>
                <w:rFonts w:ascii="Arial" w:hAnsi="Arial" w:cs="Arial"/>
                <w:b/>
                <w:color w:val="FFFFFF" w:themeColor="background1"/>
                <w:sz w:val="18"/>
                <w:szCs w:val="18"/>
              </w:rPr>
            </w:pPr>
            <w:r>
              <w:rPr>
                <w:rFonts w:ascii="Arial" w:hAnsi="Arial"/>
                <w:b/>
                <w:color w:val="FFFFFF" w:themeColor="background1"/>
                <w:sz w:val="18"/>
              </w:rPr>
              <w:t>Spring/early summer/August</w:t>
            </w:r>
          </w:p>
        </w:tc>
      </w:tr>
      <w:tr w:rsidR="007E54D7" w:rsidRPr="009C6FE7" w14:paraId="15AAAB15" w14:textId="77777777" w:rsidTr="005F59D5">
        <w:tc>
          <w:tcPr>
            <w:tcW w:w="2235" w:type="dxa"/>
          </w:tcPr>
          <w:p w14:paraId="15AAAB13" w14:textId="77777777" w:rsidR="007E54D7" w:rsidRPr="00036EFE" w:rsidRDefault="007E54D7" w:rsidP="007E54D7">
            <w:pPr>
              <w:rPr>
                <w:rFonts w:ascii="Arial" w:hAnsi="Arial" w:cs="Arial"/>
                <w:sz w:val="18"/>
                <w:szCs w:val="18"/>
              </w:rPr>
            </w:pPr>
            <w:r>
              <w:rPr>
                <w:rFonts w:ascii="Arial" w:hAnsi="Arial"/>
                <w:sz w:val="18"/>
              </w:rPr>
              <w:t xml:space="preserve">Application </w:t>
            </w:r>
          </w:p>
        </w:tc>
        <w:tc>
          <w:tcPr>
            <w:tcW w:w="6945" w:type="dxa"/>
          </w:tcPr>
          <w:p w14:paraId="15AAAB14" w14:textId="1F1ECA86" w:rsidR="007E54D7" w:rsidRPr="00036EFE" w:rsidRDefault="007E54D7" w:rsidP="007E54D7">
            <w:pPr>
              <w:rPr>
                <w:rFonts w:ascii="Arial" w:hAnsi="Arial" w:cs="Arial"/>
                <w:sz w:val="18"/>
                <w:szCs w:val="18"/>
              </w:rPr>
            </w:pPr>
            <w:r>
              <w:rPr>
                <w:rFonts w:ascii="Arial" w:hAnsi="Arial"/>
                <w:sz w:val="18"/>
              </w:rPr>
              <w:t>A copy of the application to the source of funding must be submitted to the faculty programme director who informs the vice-dean of undergraduate studies.</w:t>
            </w:r>
          </w:p>
        </w:tc>
      </w:tr>
      <w:tr w:rsidR="007E54D7" w:rsidRPr="009C6FE7" w14:paraId="15AAAB18" w14:textId="77777777" w:rsidTr="005F59D5">
        <w:tc>
          <w:tcPr>
            <w:tcW w:w="2235" w:type="dxa"/>
          </w:tcPr>
          <w:p w14:paraId="15AAAB16" w14:textId="28A76C49" w:rsidR="007E54D7" w:rsidRDefault="007658AD" w:rsidP="007E54D7">
            <w:pPr>
              <w:rPr>
                <w:rFonts w:ascii="Arial" w:hAnsi="Arial" w:cs="Arial"/>
                <w:sz w:val="18"/>
                <w:szCs w:val="18"/>
              </w:rPr>
            </w:pPr>
            <w:r>
              <w:rPr>
                <w:rFonts w:ascii="Arial" w:hAnsi="Arial"/>
                <w:sz w:val="18"/>
              </w:rPr>
              <w:t>Administrative support (Education Centre)</w:t>
            </w:r>
          </w:p>
        </w:tc>
        <w:tc>
          <w:tcPr>
            <w:tcW w:w="6945" w:type="dxa"/>
          </w:tcPr>
          <w:p w14:paraId="15AAAB17" w14:textId="1A8F75EA" w:rsidR="007E54D7" w:rsidRDefault="007E54D7" w:rsidP="00F0128C">
            <w:pPr>
              <w:rPr>
                <w:rFonts w:ascii="Arial" w:hAnsi="Arial" w:cs="Arial"/>
                <w:sz w:val="18"/>
                <w:szCs w:val="18"/>
              </w:rPr>
            </w:pPr>
            <w:r>
              <w:rPr>
                <w:rFonts w:ascii="Arial" w:hAnsi="Arial"/>
                <w:sz w:val="18"/>
              </w:rPr>
              <w:t>The faculty programme director appoints a responsible education officer and an education administrator (if the course is taught in Alnarp) and informs the course leader of this.</w:t>
            </w:r>
          </w:p>
        </w:tc>
      </w:tr>
      <w:tr w:rsidR="007C7BC6" w:rsidRPr="00895CB9" w14:paraId="15AAAB1B" w14:textId="77777777" w:rsidTr="005F59D5">
        <w:tc>
          <w:tcPr>
            <w:tcW w:w="2235" w:type="dxa"/>
          </w:tcPr>
          <w:p w14:paraId="15AAAB19" w14:textId="15802776" w:rsidR="007C7BC6" w:rsidRDefault="007658AD" w:rsidP="00F0128C">
            <w:pPr>
              <w:rPr>
                <w:rFonts w:ascii="Arial" w:hAnsi="Arial" w:cs="Arial"/>
                <w:sz w:val="18"/>
                <w:szCs w:val="18"/>
              </w:rPr>
            </w:pPr>
            <w:r>
              <w:rPr>
                <w:rFonts w:ascii="Arial" w:hAnsi="Arial"/>
                <w:sz w:val="18"/>
              </w:rPr>
              <w:t xml:space="preserve">Information for the </w:t>
            </w:r>
            <w:r w:rsidR="00BC6956">
              <w:rPr>
                <w:rFonts w:ascii="Arial" w:hAnsi="Arial"/>
                <w:sz w:val="18"/>
              </w:rPr>
              <w:t>Division of Educational Affairs</w:t>
            </w:r>
          </w:p>
        </w:tc>
        <w:tc>
          <w:tcPr>
            <w:tcW w:w="6945" w:type="dxa"/>
          </w:tcPr>
          <w:p w14:paraId="15AAAB1A" w14:textId="5146F56A" w:rsidR="007C7BC6" w:rsidRDefault="007C7BC6" w:rsidP="00BC6956">
            <w:pPr>
              <w:rPr>
                <w:rFonts w:ascii="Arial" w:hAnsi="Arial" w:cs="Arial"/>
                <w:sz w:val="18"/>
                <w:szCs w:val="18"/>
              </w:rPr>
            </w:pPr>
            <w:r>
              <w:rPr>
                <w:rFonts w:ascii="Arial" w:hAnsi="Arial"/>
                <w:sz w:val="18"/>
              </w:rPr>
              <w:t xml:space="preserve">The education officer informs the </w:t>
            </w:r>
            <w:r w:rsidR="00BC6956">
              <w:rPr>
                <w:rFonts w:ascii="Arial" w:hAnsi="Arial"/>
                <w:sz w:val="18"/>
              </w:rPr>
              <w:t>A</w:t>
            </w:r>
            <w:r>
              <w:rPr>
                <w:rFonts w:ascii="Arial" w:hAnsi="Arial"/>
                <w:sz w:val="18"/>
              </w:rPr>
              <w:t xml:space="preserve">dmissions </w:t>
            </w:r>
            <w:r w:rsidR="00BC6956">
              <w:rPr>
                <w:rFonts w:ascii="Arial" w:hAnsi="Arial"/>
                <w:sz w:val="18"/>
              </w:rPr>
              <w:t>Unit</w:t>
            </w:r>
            <w:r>
              <w:rPr>
                <w:rFonts w:ascii="Arial" w:hAnsi="Arial"/>
                <w:sz w:val="18"/>
              </w:rPr>
              <w:t xml:space="preserve"> about the intended summer course. When necessary, also discuss the admissions round, deadlines, selection groups and other issues. </w:t>
            </w:r>
            <w:r>
              <w:rPr>
                <w:rFonts w:ascii="Arial" w:hAnsi="Arial" w:cs="Arial"/>
                <w:sz w:val="18"/>
                <w:szCs w:val="18"/>
              </w:rPr>
              <w:br/>
            </w:r>
            <w:r w:rsidR="00BC6956">
              <w:rPr>
                <w:rFonts w:ascii="Arial" w:hAnsi="Arial"/>
                <w:sz w:val="18"/>
              </w:rPr>
              <w:t>If necessary, the A</w:t>
            </w:r>
            <w:r>
              <w:rPr>
                <w:rFonts w:ascii="Arial" w:hAnsi="Arial"/>
                <w:sz w:val="18"/>
              </w:rPr>
              <w:t xml:space="preserve">dmissions </w:t>
            </w:r>
            <w:r w:rsidR="00BC6956">
              <w:rPr>
                <w:rFonts w:ascii="Arial" w:hAnsi="Arial"/>
                <w:sz w:val="18"/>
              </w:rPr>
              <w:t>Unit</w:t>
            </w:r>
            <w:r>
              <w:rPr>
                <w:rFonts w:ascii="Arial" w:hAnsi="Arial"/>
                <w:sz w:val="18"/>
              </w:rPr>
              <w:t xml:space="preserve"> will then inform SLU's international mobility group (international officers).</w:t>
            </w:r>
          </w:p>
        </w:tc>
      </w:tr>
      <w:tr w:rsidR="00A34EA5" w:rsidRPr="00BC1E98" w14:paraId="15AAAB1D" w14:textId="77777777" w:rsidTr="005F59D5">
        <w:tc>
          <w:tcPr>
            <w:tcW w:w="9180" w:type="dxa"/>
            <w:gridSpan w:val="2"/>
            <w:shd w:val="clear" w:color="auto" w:fill="1F497D" w:themeFill="text2"/>
          </w:tcPr>
          <w:p w14:paraId="15AAAB1C" w14:textId="77777777" w:rsidR="00A34EA5" w:rsidRPr="00A34EA5" w:rsidRDefault="00A34EA5" w:rsidP="00657893">
            <w:pPr>
              <w:rPr>
                <w:rFonts w:ascii="Arial" w:hAnsi="Arial" w:cs="Arial"/>
                <w:b/>
                <w:color w:val="FFFFFF" w:themeColor="background1"/>
                <w:sz w:val="18"/>
                <w:szCs w:val="18"/>
              </w:rPr>
            </w:pPr>
            <w:r>
              <w:rPr>
                <w:rFonts w:ascii="Arial" w:hAnsi="Arial"/>
                <w:b/>
                <w:color w:val="FFFFFF" w:themeColor="background1"/>
                <w:sz w:val="18"/>
              </w:rPr>
              <w:lastRenderedPageBreak/>
              <w:t>September</w:t>
            </w:r>
          </w:p>
        </w:tc>
      </w:tr>
      <w:tr w:rsidR="00A34EA5" w:rsidRPr="009C6FE7" w14:paraId="15AAAB20" w14:textId="77777777" w:rsidTr="005F59D5">
        <w:tc>
          <w:tcPr>
            <w:tcW w:w="2235" w:type="dxa"/>
          </w:tcPr>
          <w:p w14:paraId="15AAAB1E" w14:textId="74B0D690" w:rsidR="00A34EA5" w:rsidRDefault="003763EC" w:rsidP="009064F0">
            <w:pPr>
              <w:rPr>
                <w:rFonts w:ascii="Arial" w:hAnsi="Arial" w:cs="Arial"/>
                <w:sz w:val="18"/>
                <w:szCs w:val="18"/>
              </w:rPr>
            </w:pPr>
            <w:r>
              <w:rPr>
                <w:rFonts w:ascii="Arial" w:hAnsi="Arial"/>
                <w:sz w:val="18"/>
              </w:rPr>
              <w:t>Course date</w:t>
            </w:r>
          </w:p>
        </w:tc>
        <w:tc>
          <w:tcPr>
            <w:tcW w:w="6945" w:type="dxa"/>
          </w:tcPr>
          <w:p w14:paraId="17D0AC06" w14:textId="0C2D9718" w:rsidR="00A34EA5" w:rsidRDefault="00A34EA5" w:rsidP="00657893">
            <w:pPr>
              <w:rPr>
                <w:rFonts w:ascii="Arial" w:hAnsi="Arial" w:cs="Arial"/>
                <w:sz w:val="18"/>
                <w:szCs w:val="18"/>
              </w:rPr>
            </w:pPr>
            <w:r>
              <w:rPr>
                <w:rFonts w:ascii="Arial" w:hAnsi="Arial"/>
                <w:sz w:val="18"/>
              </w:rPr>
              <w:t xml:space="preserve">The programme board makes a decision regarding the course date for international summer courses (year N) in conjunction with decisions about the framework timetable for the programme (academic year N/N+1). </w:t>
            </w:r>
            <w:r w:rsidR="00413A0E">
              <w:rPr>
                <w:rFonts w:ascii="Arial" w:hAnsi="Arial"/>
                <w:sz w:val="18"/>
              </w:rPr>
              <w:t>The programme board</w:t>
            </w:r>
            <w:r>
              <w:rPr>
                <w:rFonts w:ascii="Arial" w:hAnsi="Arial"/>
                <w:sz w:val="18"/>
              </w:rPr>
              <w:t xml:space="preserve"> decides whether the course is to be included in its proposal for the allocation of resources f</w:t>
            </w:r>
            <w:r w:rsidR="00413A0E">
              <w:rPr>
                <w:rFonts w:ascii="Arial" w:hAnsi="Arial"/>
                <w:sz w:val="18"/>
              </w:rPr>
              <w:t>or undergraduate studies</w:t>
            </w:r>
            <w:r>
              <w:rPr>
                <w:rFonts w:ascii="Arial" w:hAnsi="Arial"/>
                <w:sz w:val="18"/>
              </w:rPr>
              <w:t>.</w:t>
            </w:r>
          </w:p>
          <w:p w14:paraId="15AAAB1F" w14:textId="3BD54C5F" w:rsidR="005B0C75" w:rsidRDefault="008A0C95" w:rsidP="00657893">
            <w:pPr>
              <w:rPr>
                <w:rFonts w:ascii="Arial" w:hAnsi="Arial" w:cs="Arial"/>
                <w:sz w:val="18"/>
                <w:szCs w:val="18"/>
              </w:rPr>
            </w:pPr>
            <w:r>
              <w:rPr>
                <w:rFonts w:ascii="Arial" w:hAnsi="Arial"/>
                <w:sz w:val="18"/>
              </w:rPr>
              <w:t xml:space="preserve">Courses </w:t>
            </w:r>
            <w:r w:rsidR="005B0C75">
              <w:rPr>
                <w:rFonts w:ascii="Arial" w:hAnsi="Arial"/>
                <w:sz w:val="18"/>
              </w:rPr>
              <w:t>must be linked to a programme in order for it to be possible for exchange students to apply for them.</w:t>
            </w:r>
          </w:p>
        </w:tc>
      </w:tr>
      <w:tr w:rsidR="00A64BF8" w:rsidRPr="00BC1E98" w14:paraId="15AAAB22" w14:textId="77777777" w:rsidTr="0063327C">
        <w:tc>
          <w:tcPr>
            <w:tcW w:w="9180" w:type="dxa"/>
            <w:gridSpan w:val="2"/>
            <w:tcBorders>
              <w:bottom w:val="single" w:sz="4" w:space="0" w:color="auto"/>
            </w:tcBorders>
            <w:shd w:val="clear" w:color="auto" w:fill="1F497D" w:themeFill="text2"/>
          </w:tcPr>
          <w:p w14:paraId="15AAAB21" w14:textId="77777777" w:rsidR="00A64BF8" w:rsidRPr="004F4922" w:rsidRDefault="00657893" w:rsidP="008135F8">
            <w:pPr>
              <w:rPr>
                <w:rFonts w:ascii="Arial" w:hAnsi="Arial" w:cs="Arial"/>
                <w:b/>
                <w:color w:val="FFFFFF" w:themeColor="background1"/>
                <w:sz w:val="18"/>
                <w:szCs w:val="18"/>
              </w:rPr>
            </w:pPr>
            <w:r>
              <w:rPr>
                <w:rFonts w:ascii="Arial" w:hAnsi="Arial"/>
                <w:b/>
                <w:color w:val="FFFFFF" w:themeColor="background1"/>
                <w:sz w:val="18"/>
              </w:rPr>
              <w:t>October</w:t>
            </w:r>
          </w:p>
        </w:tc>
      </w:tr>
      <w:tr w:rsidR="00657893" w:rsidRPr="009C6FE7" w14:paraId="15AAAB25" w14:textId="77777777" w:rsidTr="0063327C">
        <w:tc>
          <w:tcPr>
            <w:tcW w:w="2235" w:type="dxa"/>
            <w:tcBorders>
              <w:bottom w:val="single" w:sz="4" w:space="0" w:color="auto"/>
            </w:tcBorders>
          </w:tcPr>
          <w:p w14:paraId="15AAAB23" w14:textId="77777777" w:rsidR="00657893" w:rsidRDefault="00657893" w:rsidP="009064F0">
            <w:pPr>
              <w:rPr>
                <w:rFonts w:ascii="Arial" w:hAnsi="Arial" w:cs="Arial"/>
                <w:sz w:val="18"/>
                <w:szCs w:val="18"/>
              </w:rPr>
            </w:pPr>
            <w:r>
              <w:rPr>
                <w:rFonts w:ascii="Arial" w:hAnsi="Arial"/>
                <w:sz w:val="18"/>
              </w:rPr>
              <w:t>Course syllabus</w:t>
            </w:r>
          </w:p>
        </w:tc>
        <w:tc>
          <w:tcPr>
            <w:tcW w:w="6945" w:type="dxa"/>
            <w:tcBorders>
              <w:bottom w:val="single" w:sz="4" w:space="0" w:color="auto"/>
            </w:tcBorders>
          </w:tcPr>
          <w:p w14:paraId="15AAAB24" w14:textId="20E6E7D0" w:rsidR="0063327C" w:rsidRDefault="00657893" w:rsidP="00895CB9">
            <w:pPr>
              <w:rPr>
                <w:rFonts w:ascii="Arial" w:hAnsi="Arial" w:cs="Arial"/>
                <w:sz w:val="18"/>
                <w:szCs w:val="18"/>
              </w:rPr>
            </w:pPr>
            <w:r>
              <w:rPr>
                <w:rFonts w:ascii="Arial" w:hAnsi="Arial"/>
                <w:sz w:val="18"/>
              </w:rPr>
              <w:t>The course leader discusses the course syllabus with the education officer and completes it. The education officer gives the final version to the education administrator, who enters the course syllabus into SLUkurs.</w:t>
            </w:r>
          </w:p>
        </w:tc>
      </w:tr>
      <w:tr w:rsidR="00F0128C" w:rsidRPr="00BC1E98" w14:paraId="317CC0BA" w14:textId="77777777" w:rsidTr="0063327C">
        <w:tc>
          <w:tcPr>
            <w:tcW w:w="9180" w:type="dxa"/>
            <w:gridSpan w:val="2"/>
            <w:tcBorders>
              <w:top w:val="single" w:sz="4" w:space="0" w:color="auto"/>
            </w:tcBorders>
            <w:shd w:val="clear" w:color="auto" w:fill="1F497D" w:themeFill="text2"/>
          </w:tcPr>
          <w:p w14:paraId="00860BBB" w14:textId="10E5D17B" w:rsidR="00F0128C" w:rsidRPr="004F4922" w:rsidRDefault="00F0128C" w:rsidP="005B0C75">
            <w:pPr>
              <w:rPr>
                <w:rFonts w:ascii="Arial" w:hAnsi="Arial" w:cs="Arial"/>
                <w:b/>
                <w:color w:val="FFFFFF" w:themeColor="background1"/>
                <w:sz w:val="18"/>
                <w:szCs w:val="18"/>
              </w:rPr>
            </w:pPr>
            <w:r>
              <w:rPr>
                <w:rFonts w:ascii="Arial" w:hAnsi="Arial"/>
                <w:b/>
                <w:color w:val="FFFFFF" w:themeColor="background1"/>
                <w:sz w:val="18"/>
              </w:rPr>
              <w:t>November</w:t>
            </w:r>
          </w:p>
        </w:tc>
      </w:tr>
      <w:tr w:rsidR="00F0128C" w:rsidRPr="009C6FE7" w14:paraId="15402605" w14:textId="77777777" w:rsidTr="005F59D5">
        <w:tc>
          <w:tcPr>
            <w:tcW w:w="2235" w:type="dxa"/>
            <w:tcBorders>
              <w:top w:val="nil"/>
            </w:tcBorders>
          </w:tcPr>
          <w:p w14:paraId="06BDBCFB" w14:textId="2E330F22" w:rsidR="00F0128C" w:rsidRDefault="00F0128C" w:rsidP="009064F0">
            <w:pPr>
              <w:rPr>
                <w:rFonts w:ascii="Arial" w:hAnsi="Arial" w:cs="Arial"/>
                <w:sz w:val="18"/>
                <w:szCs w:val="18"/>
              </w:rPr>
            </w:pPr>
            <w:r>
              <w:rPr>
                <w:rFonts w:ascii="Arial" w:hAnsi="Arial"/>
                <w:sz w:val="18"/>
              </w:rPr>
              <w:t>Course syllabus</w:t>
            </w:r>
          </w:p>
        </w:tc>
        <w:tc>
          <w:tcPr>
            <w:tcW w:w="6945" w:type="dxa"/>
          </w:tcPr>
          <w:p w14:paraId="38079086" w14:textId="4B921E23" w:rsidR="00F0128C" w:rsidRDefault="00413A0E" w:rsidP="00F0128C">
            <w:pPr>
              <w:rPr>
                <w:rFonts w:ascii="Arial" w:hAnsi="Arial" w:cs="Arial"/>
                <w:sz w:val="18"/>
                <w:szCs w:val="18"/>
              </w:rPr>
            </w:pPr>
            <w:r>
              <w:rPr>
                <w:rFonts w:ascii="Arial" w:hAnsi="Arial"/>
                <w:sz w:val="18"/>
              </w:rPr>
              <w:t>The programme board</w:t>
            </w:r>
            <w:r w:rsidR="00F0128C">
              <w:rPr>
                <w:rFonts w:ascii="Arial" w:hAnsi="Arial"/>
                <w:sz w:val="18"/>
              </w:rPr>
              <w:t xml:space="preserve"> approves the course syllabus in conjunction with the approval of other courses.</w:t>
            </w:r>
            <w:r w:rsidR="009C60F6">
              <w:rPr>
                <w:rFonts w:ascii="Arial" w:hAnsi="Arial"/>
                <w:sz w:val="18"/>
              </w:rPr>
              <w:t xml:space="preserve"> </w:t>
            </w:r>
          </w:p>
        </w:tc>
      </w:tr>
      <w:tr w:rsidR="0063327C" w:rsidRPr="009C6FE7" w14:paraId="7CD93DA9" w14:textId="77777777" w:rsidTr="005F59D5">
        <w:tc>
          <w:tcPr>
            <w:tcW w:w="2235" w:type="dxa"/>
            <w:tcBorders>
              <w:bottom w:val="single" w:sz="4" w:space="0" w:color="auto"/>
            </w:tcBorders>
          </w:tcPr>
          <w:p w14:paraId="3DE0C1FB" w14:textId="7A0B62FA" w:rsidR="0063327C" w:rsidRDefault="0063327C" w:rsidP="003763EC">
            <w:pPr>
              <w:rPr>
                <w:rFonts w:ascii="Arial" w:hAnsi="Arial" w:cs="Arial"/>
                <w:sz w:val="18"/>
                <w:szCs w:val="18"/>
              </w:rPr>
            </w:pPr>
            <w:r>
              <w:rPr>
                <w:rFonts w:ascii="Arial" w:hAnsi="Arial"/>
                <w:sz w:val="18"/>
              </w:rPr>
              <w:t>Course code</w:t>
            </w:r>
          </w:p>
        </w:tc>
        <w:tc>
          <w:tcPr>
            <w:tcW w:w="6945" w:type="dxa"/>
            <w:tcBorders>
              <w:bottom w:val="single" w:sz="4" w:space="0" w:color="auto"/>
            </w:tcBorders>
          </w:tcPr>
          <w:p w14:paraId="727E92F9" w14:textId="5DF2720F" w:rsidR="0063327C" w:rsidRDefault="0063327C" w:rsidP="001F3A35">
            <w:pPr>
              <w:rPr>
                <w:rFonts w:ascii="Arial" w:hAnsi="Arial" w:cs="Arial"/>
                <w:sz w:val="18"/>
                <w:szCs w:val="18"/>
              </w:rPr>
            </w:pPr>
            <w:r>
              <w:rPr>
                <w:rFonts w:ascii="Arial" w:hAnsi="Arial"/>
                <w:sz w:val="18"/>
              </w:rPr>
              <w:t>The education officer approves the submitted course syllabus and enters the number of places and possible prior admission into SLUkurs.</w:t>
            </w:r>
          </w:p>
        </w:tc>
      </w:tr>
      <w:tr w:rsidR="0063327C" w:rsidRPr="009C6FE7" w14:paraId="018C59F3" w14:textId="77777777" w:rsidTr="005F59D5">
        <w:tc>
          <w:tcPr>
            <w:tcW w:w="2235" w:type="dxa"/>
            <w:tcBorders>
              <w:bottom w:val="single" w:sz="4" w:space="0" w:color="auto"/>
            </w:tcBorders>
          </w:tcPr>
          <w:p w14:paraId="4E4EBB5B" w14:textId="647AAF48" w:rsidR="0063327C" w:rsidRDefault="0063327C" w:rsidP="003763EC">
            <w:pPr>
              <w:rPr>
                <w:rFonts w:ascii="Arial" w:hAnsi="Arial" w:cs="Arial"/>
                <w:sz w:val="18"/>
                <w:szCs w:val="18"/>
              </w:rPr>
            </w:pPr>
            <w:r>
              <w:rPr>
                <w:rFonts w:ascii="Arial" w:hAnsi="Arial"/>
                <w:sz w:val="18"/>
              </w:rPr>
              <w:t>Selection criteria</w:t>
            </w:r>
          </w:p>
        </w:tc>
        <w:tc>
          <w:tcPr>
            <w:tcW w:w="6945" w:type="dxa"/>
            <w:tcBorders>
              <w:bottom w:val="single" w:sz="4" w:space="0" w:color="auto"/>
            </w:tcBorders>
          </w:tcPr>
          <w:p w14:paraId="3D7661A2" w14:textId="6F91189C" w:rsidR="0063327C" w:rsidRDefault="0063327C" w:rsidP="00413A0E">
            <w:pPr>
              <w:rPr>
                <w:rFonts w:ascii="Arial" w:hAnsi="Arial" w:cs="Arial"/>
                <w:sz w:val="18"/>
                <w:szCs w:val="18"/>
              </w:rPr>
            </w:pPr>
            <w:r>
              <w:rPr>
                <w:rFonts w:ascii="Arial" w:hAnsi="Arial"/>
                <w:sz w:val="18"/>
              </w:rPr>
              <w:t>The education officer informs</w:t>
            </w:r>
            <w:r w:rsidR="008A0C95">
              <w:rPr>
                <w:rFonts w:ascii="Arial" w:hAnsi="Arial"/>
                <w:sz w:val="18"/>
              </w:rPr>
              <w:t xml:space="preserve"> the</w:t>
            </w:r>
            <w:r>
              <w:rPr>
                <w:rFonts w:ascii="Arial" w:hAnsi="Arial"/>
                <w:sz w:val="18"/>
              </w:rPr>
              <w:t xml:space="preserve"> </w:t>
            </w:r>
            <w:r w:rsidR="00413A0E">
              <w:rPr>
                <w:rFonts w:ascii="Arial" w:hAnsi="Arial"/>
                <w:sz w:val="18"/>
              </w:rPr>
              <w:t>A</w:t>
            </w:r>
            <w:r>
              <w:rPr>
                <w:rFonts w:ascii="Arial" w:hAnsi="Arial"/>
                <w:sz w:val="18"/>
              </w:rPr>
              <w:t xml:space="preserve">dmissions </w:t>
            </w:r>
            <w:r w:rsidR="008A0C95">
              <w:rPr>
                <w:rFonts w:ascii="Arial" w:hAnsi="Arial"/>
                <w:sz w:val="18"/>
              </w:rPr>
              <w:t xml:space="preserve">Unit </w:t>
            </w:r>
            <w:r>
              <w:rPr>
                <w:rFonts w:ascii="Arial" w:hAnsi="Arial"/>
                <w:sz w:val="18"/>
              </w:rPr>
              <w:t xml:space="preserve">of the course code, distribution of students between Swedish and foreign universities and proposes selection groups and distribution of students from Swedish and foreign universities (decided by the </w:t>
            </w:r>
            <w:r w:rsidR="00413A0E">
              <w:rPr>
                <w:rFonts w:ascii="Arial" w:hAnsi="Arial"/>
                <w:sz w:val="18"/>
              </w:rPr>
              <w:t>v</w:t>
            </w:r>
            <w:r>
              <w:rPr>
                <w:rFonts w:ascii="Arial" w:hAnsi="Arial"/>
                <w:sz w:val="18"/>
              </w:rPr>
              <w:t>ice-</w:t>
            </w:r>
            <w:r w:rsidR="00413A0E">
              <w:rPr>
                <w:rFonts w:ascii="Arial" w:hAnsi="Arial"/>
                <w:sz w:val="18"/>
              </w:rPr>
              <w:t>c</w:t>
            </w:r>
            <w:r>
              <w:rPr>
                <w:rFonts w:ascii="Arial" w:hAnsi="Arial"/>
                <w:sz w:val="18"/>
              </w:rPr>
              <w:t xml:space="preserve">hancellor). Anything other than “open competition” for the places requires a decision by the </w:t>
            </w:r>
            <w:r w:rsidR="00413A0E">
              <w:rPr>
                <w:rFonts w:ascii="Arial" w:hAnsi="Arial"/>
                <w:sz w:val="18"/>
              </w:rPr>
              <w:t>v</w:t>
            </w:r>
            <w:r>
              <w:rPr>
                <w:rFonts w:ascii="Arial" w:hAnsi="Arial"/>
                <w:sz w:val="18"/>
              </w:rPr>
              <w:t>ice-</w:t>
            </w:r>
            <w:r w:rsidR="00413A0E">
              <w:rPr>
                <w:rFonts w:ascii="Arial" w:hAnsi="Arial"/>
                <w:sz w:val="18"/>
              </w:rPr>
              <w:t>c</w:t>
            </w:r>
            <w:r>
              <w:rPr>
                <w:rFonts w:ascii="Arial" w:hAnsi="Arial"/>
                <w:sz w:val="18"/>
              </w:rPr>
              <w:t>hancellor regarding special selection criteria.</w:t>
            </w:r>
          </w:p>
        </w:tc>
      </w:tr>
      <w:tr w:rsidR="00967D5A" w:rsidRPr="009C6FE7" w14:paraId="15AAAB30" w14:textId="77777777" w:rsidTr="005F59D5">
        <w:tc>
          <w:tcPr>
            <w:tcW w:w="2235" w:type="dxa"/>
            <w:tcBorders>
              <w:bottom w:val="single" w:sz="4" w:space="0" w:color="auto"/>
            </w:tcBorders>
          </w:tcPr>
          <w:p w14:paraId="15AAAB2E" w14:textId="356D9A85" w:rsidR="00967D5A" w:rsidRDefault="0063327C" w:rsidP="003763EC">
            <w:pPr>
              <w:rPr>
                <w:rFonts w:ascii="Arial" w:hAnsi="Arial" w:cs="Arial"/>
                <w:sz w:val="18"/>
                <w:szCs w:val="18"/>
              </w:rPr>
            </w:pPr>
            <w:r>
              <w:rPr>
                <w:rFonts w:ascii="Arial" w:hAnsi="Arial"/>
                <w:sz w:val="18"/>
              </w:rPr>
              <w:t>Link to application</w:t>
            </w:r>
          </w:p>
        </w:tc>
        <w:tc>
          <w:tcPr>
            <w:tcW w:w="6945" w:type="dxa"/>
            <w:tcBorders>
              <w:bottom w:val="single" w:sz="4" w:space="0" w:color="auto"/>
            </w:tcBorders>
          </w:tcPr>
          <w:p w14:paraId="15AAAB2F" w14:textId="0E47E362" w:rsidR="00967D5A" w:rsidRDefault="0063327C" w:rsidP="00D57A8D">
            <w:pPr>
              <w:rPr>
                <w:rFonts w:ascii="Arial" w:hAnsi="Arial" w:cs="Arial"/>
                <w:sz w:val="18"/>
                <w:szCs w:val="18"/>
              </w:rPr>
            </w:pPr>
            <w:r>
              <w:rPr>
                <w:rFonts w:ascii="Arial" w:hAnsi="Arial"/>
                <w:sz w:val="18"/>
              </w:rPr>
              <w:t>When appropriate, the mobility group informs the education officer of the link used for applications from foreign universities.</w:t>
            </w:r>
            <w:r>
              <w:rPr>
                <w:rFonts w:ascii="Arial" w:hAnsi="Arial" w:cs="Arial"/>
                <w:sz w:val="18"/>
                <w:szCs w:val="18"/>
              </w:rPr>
              <w:br/>
            </w:r>
            <w:r>
              <w:rPr>
                <w:rFonts w:ascii="Arial" w:hAnsi="Arial"/>
                <w:sz w:val="18"/>
              </w:rPr>
              <w:t>The education officer ensures that the course syllabus and other websites showing the course (e.g. NOVA, ELLS) clearly state that students from Swedish and foreign universities register in different ways and how this is done.</w:t>
            </w:r>
          </w:p>
        </w:tc>
      </w:tr>
      <w:tr w:rsidR="005F59D5" w:rsidRPr="009C6FE7" w14:paraId="4A8AFBBC" w14:textId="77777777" w:rsidTr="005F59D5">
        <w:tc>
          <w:tcPr>
            <w:tcW w:w="9180" w:type="dxa"/>
            <w:gridSpan w:val="2"/>
            <w:shd w:val="clear" w:color="auto" w:fill="F79646" w:themeFill="accent6"/>
          </w:tcPr>
          <w:p w14:paraId="3CFCD52D" w14:textId="77777777" w:rsidR="005F59D5" w:rsidRPr="00036EFE" w:rsidRDefault="005F59D5" w:rsidP="005B0C75">
            <w:pPr>
              <w:rPr>
                <w:rFonts w:ascii="Arial" w:hAnsi="Arial" w:cs="Arial"/>
                <w:sz w:val="18"/>
                <w:szCs w:val="18"/>
              </w:rPr>
            </w:pPr>
            <w:r>
              <w:rPr>
                <w:rFonts w:ascii="Arial" w:hAnsi="Arial"/>
                <w:b/>
                <w:sz w:val="18"/>
              </w:rPr>
              <w:t>The calendar year in which the course starts – year N</w:t>
            </w:r>
          </w:p>
        </w:tc>
      </w:tr>
      <w:tr w:rsidR="005F59D5" w:rsidRPr="007658AD" w14:paraId="1B38C957" w14:textId="77777777" w:rsidTr="005F59D5">
        <w:tc>
          <w:tcPr>
            <w:tcW w:w="9180" w:type="dxa"/>
            <w:gridSpan w:val="2"/>
            <w:shd w:val="clear" w:color="auto" w:fill="1F497D" w:themeFill="text2"/>
          </w:tcPr>
          <w:p w14:paraId="0568A96F" w14:textId="4304D104" w:rsidR="005F59D5" w:rsidRPr="0019791A" w:rsidRDefault="005F59D5" w:rsidP="005B0C75">
            <w:pPr>
              <w:rPr>
                <w:rFonts w:ascii="Arial" w:hAnsi="Arial" w:cs="Arial"/>
                <w:b/>
                <w:color w:val="FFFFFF" w:themeColor="background1"/>
                <w:sz w:val="18"/>
                <w:szCs w:val="18"/>
              </w:rPr>
            </w:pPr>
            <w:r>
              <w:rPr>
                <w:rFonts w:ascii="Arial" w:hAnsi="Arial"/>
                <w:b/>
                <w:color w:val="FFFFFF" w:themeColor="background1"/>
                <w:sz w:val="18"/>
              </w:rPr>
              <w:t>January</w:t>
            </w:r>
          </w:p>
        </w:tc>
      </w:tr>
      <w:tr w:rsidR="005F59D5" w:rsidRPr="009C6FE7" w14:paraId="61B17F39" w14:textId="77777777" w:rsidTr="005F59D5">
        <w:tc>
          <w:tcPr>
            <w:tcW w:w="2235" w:type="dxa"/>
            <w:tcBorders>
              <w:bottom w:val="single" w:sz="4" w:space="0" w:color="auto"/>
            </w:tcBorders>
          </w:tcPr>
          <w:p w14:paraId="2E0B6F1C" w14:textId="3C00471B" w:rsidR="005F59D5" w:rsidRDefault="005F59D5" w:rsidP="00413A0E">
            <w:pPr>
              <w:rPr>
                <w:rFonts w:ascii="Arial" w:hAnsi="Arial" w:cs="Arial"/>
                <w:sz w:val="18"/>
                <w:szCs w:val="18"/>
              </w:rPr>
            </w:pPr>
            <w:r>
              <w:rPr>
                <w:rFonts w:ascii="Arial" w:hAnsi="Arial"/>
                <w:sz w:val="18"/>
              </w:rPr>
              <w:t>Vice-</w:t>
            </w:r>
            <w:r w:rsidR="00413A0E">
              <w:rPr>
                <w:rFonts w:ascii="Arial" w:hAnsi="Arial"/>
                <w:sz w:val="18"/>
              </w:rPr>
              <w:t>c</w:t>
            </w:r>
            <w:r>
              <w:rPr>
                <w:rFonts w:ascii="Arial" w:hAnsi="Arial"/>
                <w:sz w:val="18"/>
              </w:rPr>
              <w:t>hancellor's decision</w:t>
            </w:r>
          </w:p>
        </w:tc>
        <w:tc>
          <w:tcPr>
            <w:tcW w:w="6945" w:type="dxa"/>
            <w:tcBorders>
              <w:bottom w:val="single" w:sz="4" w:space="0" w:color="auto"/>
            </w:tcBorders>
          </w:tcPr>
          <w:p w14:paraId="07B263F6" w14:textId="57F2B815" w:rsidR="005F59D5" w:rsidRDefault="005F59D5" w:rsidP="00413A0E">
            <w:pPr>
              <w:rPr>
                <w:rFonts w:ascii="Arial" w:hAnsi="Arial" w:cs="Arial"/>
                <w:sz w:val="18"/>
                <w:szCs w:val="18"/>
              </w:rPr>
            </w:pPr>
            <w:r>
              <w:rPr>
                <w:rFonts w:ascii="Arial" w:hAnsi="Arial"/>
                <w:sz w:val="18"/>
              </w:rPr>
              <w:t>The education officer submits docum</w:t>
            </w:r>
            <w:r w:rsidR="008A0C95">
              <w:rPr>
                <w:rFonts w:ascii="Arial" w:hAnsi="Arial"/>
                <w:sz w:val="18"/>
              </w:rPr>
              <w:t>entation for a</w:t>
            </w:r>
            <w:r>
              <w:rPr>
                <w:rFonts w:ascii="Arial" w:hAnsi="Arial"/>
                <w:sz w:val="18"/>
              </w:rPr>
              <w:t xml:space="preserve"> </w:t>
            </w:r>
            <w:r w:rsidR="00413A0E">
              <w:rPr>
                <w:rFonts w:ascii="Arial" w:hAnsi="Arial"/>
                <w:sz w:val="18"/>
              </w:rPr>
              <w:t>possible</w:t>
            </w:r>
            <w:r>
              <w:rPr>
                <w:rFonts w:ascii="Arial" w:hAnsi="Arial"/>
                <w:sz w:val="18"/>
              </w:rPr>
              <w:t xml:space="preserve"> decision by the </w:t>
            </w:r>
            <w:r w:rsidR="00413A0E">
              <w:rPr>
                <w:rFonts w:ascii="Arial" w:hAnsi="Arial"/>
                <w:sz w:val="18"/>
              </w:rPr>
              <w:t>v</w:t>
            </w:r>
            <w:r>
              <w:rPr>
                <w:rFonts w:ascii="Arial" w:hAnsi="Arial"/>
                <w:sz w:val="18"/>
              </w:rPr>
              <w:t>ice-</w:t>
            </w:r>
            <w:r w:rsidR="00413A0E">
              <w:rPr>
                <w:rFonts w:ascii="Arial" w:hAnsi="Arial"/>
                <w:sz w:val="18"/>
              </w:rPr>
              <w:t xml:space="preserve"> c</w:t>
            </w:r>
            <w:r>
              <w:rPr>
                <w:rFonts w:ascii="Arial" w:hAnsi="Arial"/>
                <w:sz w:val="18"/>
              </w:rPr>
              <w:t>hancellor regarding the selection of those who will be admitted</w:t>
            </w:r>
            <w:r w:rsidR="008A0C95">
              <w:rPr>
                <w:rFonts w:ascii="Arial" w:hAnsi="Arial"/>
                <w:sz w:val="18"/>
              </w:rPr>
              <w:t xml:space="preserve"> to the Admissions Unit</w:t>
            </w:r>
            <w:r>
              <w:rPr>
                <w:rFonts w:ascii="Arial" w:hAnsi="Arial"/>
                <w:sz w:val="18"/>
              </w:rPr>
              <w:t>.</w:t>
            </w:r>
            <w:r w:rsidR="009C60F6">
              <w:rPr>
                <w:rFonts w:ascii="Arial" w:hAnsi="Arial"/>
                <w:sz w:val="18"/>
              </w:rPr>
              <w:t xml:space="preserve"> </w:t>
            </w:r>
          </w:p>
        </w:tc>
      </w:tr>
      <w:tr w:rsidR="0019791A" w:rsidRPr="007658AD" w14:paraId="15AAAB34" w14:textId="77777777" w:rsidTr="005F59D5">
        <w:tc>
          <w:tcPr>
            <w:tcW w:w="9180" w:type="dxa"/>
            <w:gridSpan w:val="2"/>
            <w:shd w:val="clear" w:color="auto" w:fill="1F497D" w:themeFill="text2"/>
          </w:tcPr>
          <w:p w14:paraId="15AAAB33" w14:textId="77777777" w:rsidR="0019791A" w:rsidRPr="0019791A" w:rsidRDefault="0019791A">
            <w:pPr>
              <w:rPr>
                <w:rFonts w:ascii="Arial" w:hAnsi="Arial" w:cs="Arial"/>
                <w:b/>
                <w:color w:val="FFFFFF" w:themeColor="background1"/>
                <w:sz w:val="18"/>
                <w:szCs w:val="18"/>
              </w:rPr>
            </w:pPr>
            <w:r>
              <w:rPr>
                <w:rFonts w:ascii="Arial" w:hAnsi="Arial"/>
                <w:b/>
                <w:color w:val="FFFFFF" w:themeColor="background1"/>
                <w:sz w:val="18"/>
              </w:rPr>
              <w:t>February/March</w:t>
            </w:r>
          </w:p>
        </w:tc>
      </w:tr>
      <w:tr w:rsidR="00204EF5" w:rsidRPr="009C6FE7" w14:paraId="15AAAB37" w14:textId="77777777" w:rsidTr="005F59D5">
        <w:tc>
          <w:tcPr>
            <w:tcW w:w="2235" w:type="dxa"/>
          </w:tcPr>
          <w:p w14:paraId="15AAAB35" w14:textId="7C7E7007" w:rsidR="00204EF5" w:rsidRDefault="007658AD" w:rsidP="009064F0">
            <w:pPr>
              <w:rPr>
                <w:rFonts w:ascii="Arial" w:hAnsi="Arial" w:cs="Arial"/>
                <w:sz w:val="18"/>
                <w:szCs w:val="18"/>
              </w:rPr>
            </w:pPr>
            <w:r>
              <w:rPr>
                <w:rFonts w:ascii="Arial" w:hAnsi="Arial"/>
                <w:sz w:val="18"/>
              </w:rPr>
              <w:t>Information to students</w:t>
            </w:r>
          </w:p>
        </w:tc>
        <w:tc>
          <w:tcPr>
            <w:tcW w:w="6945" w:type="dxa"/>
          </w:tcPr>
          <w:p w14:paraId="15AAAB36" w14:textId="158CE75B" w:rsidR="00204EF5" w:rsidRDefault="00204EF5" w:rsidP="00D57A8D">
            <w:pPr>
              <w:rPr>
                <w:rFonts w:ascii="Arial" w:hAnsi="Arial" w:cs="Arial"/>
                <w:sz w:val="18"/>
                <w:szCs w:val="18"/>
              </w:rPr>
            </w:pPr>
            <w:r>
              <w:rPr>
                <w:rFonts w:ascii="Arial" w:hAnsi="Arial"/>
                <w:sz w:val="18"/>
              </w:rPr>
              <w:t>If necessary, the education administrator sends out information (advertising) from course leaders to select</w:t>
            </w:r>
            <w:r w:rsidR="008A0C95">
              <w:rPr>
                <w:rFonts w:ascii="Arial" w:hAnsi="Arial"/>
                <w:sz w:val="18"/>
              </w:rPr>
              <w:t>ed</w:t>
            </w:r>
            <w:r>
              <w:rPr>
                <w:rFonts w:ascii="Arial" w:hAnsi="Arial"/>
                <w:sz w:val="18"/>
              </w:rPr>
              <w:t xml:space="preserve"> groups of students.</w:t>
            </w:r>
            <w:r>
              <w:rPr>
                <w:rFonts w:ascii="Arial" w:hAnsi="Arial" w:cs="Arial"/>
                <w:sz w:val="18"/>
                <w:szCs w:val="18"/>
              </w:rPr>
              <w:br/>
            </w:r>
            <w:r>
              <w:rPr>
                <w:rFonts w:ascii="Arial" w:hAnsi="Arial"/>
                <w:sz w:val="18"/>
              </w:rPr>
              <w:t>The education administrator informs the mobility group if there is a need for it to help with disseminating information among SLU's partner universities.</w:t>
            </w:r>
          </w:p>
        </w:tc>
      </w:tr>
      <w:tr w:rsidR="009C6FE7" w:rsidRPr="009C6FE7" w14:paraId="337D59B3" w14:textId="77777777" w:rsidTr="009C60F6">
        <w:tc>
          <w:tcPr>
            <w:tcW w:w="2235" w:type="dxa"/>
            <w:tcBorders>
              <w:bottom w:val="single" w:sz="4" w:space="0" w:color="auto"/>
            </w:tcBorders>
            <w:shd w:val="clear" w:color="auto" w:fill="FFFFFF" w:themeFill="background1"/>
          </w:tcPr>
          <w:p w14:paraId="6CB35108" w14:textId="77777777" w:rsidR="009C6FE7" w:rsidRPr="003B1343" w:rsidRDefault="009C6FE7" w:rsidP="009C60F6">
            <w:pPr>
              <w:rPr>
                <w:rFonts w:ascii="Arial" w:hAnsi="Arial" w:cs="Arial"/>
                <w:sz w:val="18"/>
                <w:szCs w:val="18"/>
              </w:rPr>
            </w:pPr>
            <w:r>
              <w:rPr>
                <w:rFonts w:ascii="Arial" w:hAnsi="Arial"/>
                <w:sz w:val="18"/>
              </w:rPr>
              <w:t>Potential collaboration with foreign universities</w:t>
            </w:r>
          </w:p>
        </w:tc>
        <w:tc>
          <w:tcPr>
            <w:tcW w:w="6945" w:type="dxa"/>
            <w:tcBorders>
              <w:bottom w:val="single" w:sz="4" w:space="0" w:color="auto"/>
            </w:tcBorders>
            <w:shd w:val="clear" w:color="auto" w:fill="FFFFFF" w:themeFill="background1"/>
          </w:tcPr>
          <w:p w14:paraId="36389372" w14:textId="4FB360BE" w:rsidR="009C6FE7" w:rsidRPr="00A62A84" w:rsidRDefault="009C6FE7" w:rsidP="009C6FE7">
            <w:pPr>
              <w:rPr>
                <w:rFonts w:ascii="Arial" w:hAnsi="Arial" w:cs="Arial"/>
                <w:sz w:val="18"/>
                <w:szCs w:val="18"/>
              </w:rPr>
            </w:pPr>
            <w:r>
              <w:rPr>
                <w:rFonts w:ascii="Arial" w:hAnsi="Arial"/>
                <w:sz w:val="18"/>
              </w:rPr>
              <w:t xml:space="preserve">The education administrator collaborates with the contact person from the foreign university regarding applications, start of the course and contact information. </w:t>
            </w:r>
          </w:p>
        </w:tc>
      </w:tr>
      <w:tr w:rsidR="009C6FE7" w:rsidRPr="009C6FE7" w14:paraId="08A68871" w14:textId="77777777" w:rsidTr="009C60F6">
        <w:tc>
          <w:tcPr>
            <w:tcW w:w="2235" w:type="dxa"/>
            <w:tcBorders>
              <w:bottom w:val="single" w:sz="4" w:space="0" w:color="auto"/>
            </w:tcBorders>
            <w:shd w:val="clear" w:color="auto" w:fill="FFFFFF" w:themeFill="background1"/>
          </w:tcPr>
          <w:p w14:paraId="4DC83992" w14:textId="0749EF27" w:rsidR="009C6FE7" w:rsidRPr="003B1343" w:rsidRDefault="009C6FE7" w:rsidP="009C6FE7">
            <w:pPr>
              <w:rPr>
                <w:rFonts w:ascii="Arial" w:hAnsi="Arial" w:cs="Arial"/>
                <w:sz w:val="18"/>
                <w:szCs w:val="18"/>
              </w:rPr>
            </w:pPr>
            <w:r>
              <w:rPr>
                <w:rFonts w:ascii="Arial" w:hAnsi="Arial"/>
                <w:sz w:val="18"/>
              </w:rPr>
              <w:t>Any accommodation and food</w:t>
            </w:r>
          </w:p>
        </w:tc>
        <w:tc>
          <w:tcPr>
            <w:tcW w:w="6945" w:type="dxa"/>
            <w:tcBorders>
              <w:bottom w:val="single" w:sz="4" w:space="0" w:color="auto"/>
            </w:tcBorders>
            <w:shd w:val="clear" w:color="auto" w:fill="FFFFFF" w:themeFill="background1"/>
          </w:tcPr>
          <w:p w14:paraId="155568EA" w14:textId="1A29D55C" w:rsidR="009C6FE7" w:rsidRPr="00A62A84" w:rsidRDefault="009C6FE7" w:rsidP="00413A0E">
            <w:pPr>
              <w:rPr>
                <w:rFonts w:ascii="Arial" w:hAnsi="Arial" w:cs="Arial"/>
                <w:sz w:val="18"/>
                <w:szCs w:val="18"/>
              </w:rPr>
            </w:pPr>
            <w:r>
              <w:rPr>
                <w:rFonts w:ascii="Arial" w:hAnsi="Arial"/>
                <w:sz w:val="18"/>
              </w:rPr>
              <w:t xml:space="preserve">If necessary, the education administrator can be of assistance when it comes to information concerning transport and </w:t>
            </w:r>
            <w:r w:rsidR="00413A0E">
              <w:rPr>
                <w:rFonts w:ascii="Arial" w:hAnsi="Arial"/>
                <w:sz w:val="18"/>
              </w:rPr>
              <w:t>lunch vouchers</w:t>
            </w:r>
            <w:r>
              <w:rPr>
                <w:rFonts w:ascii="Arial" w:hAnsi="Arial"/>
                <w:sz w:val="18"/>
              </w:rPr>
              <w:t>, as well as contact with Christina Johansson, SLU, regarding student housing in Alnarp.</w:t>
            </w:r>
          </w:p>
        </w:tc>
      </w:tr>
      <w:tr w:rsidR="0019791A" w:rsidRPr="009C6FE7" w14:paraId="15AAAB3A" w14:textId="77777777" w:rsidTr="005F59D5">
        <w:tc>
          <w:tcPr>
            <w:tcW w:w="2235" w:type="dxa"/>
          </w:tcPr>
          <w:p w14:paraId="15AAAB38" w14:textId="77777777" w:rsidR="0019791A" w:rsidRDefault="0019791A" w:rsidP="009064F0">
            <w:pPr>
              <w:rPr>
                <w:rFonts w:ascii="Arial" w:hAnsi="Arial" w:cs="Arial"/>
                <w:sz w:val="18"/>
                <w:szCs w:val="18"/>
              </w:rPr>
            </w:pPr>
            <w:r>
              <w:rPr>
                <w:rFonts w:ascii="Arial" w:hAnsi="Arial"/>
                <w:sz w:val="18"/>
              </w:rPr>
              <w:t>Applying for the course</w:t>
            </w:r>
          </w:p>
        </w:tc>
        <w:tc>
          <w:tcPr>
            <w:tcW w:w="6945" w:type="dxa"/>
          </w:tcPr>
          <w:p w14:paraId="3E3500AA" w14:textId="77777777" w:rsidR="005B0C75" w:rsidRDefault="005B0C75" w:rsidP="005B0C75">
            <w:pPr>
              <w:rPr>
                <w:rFonts w:ascii="Arial" w:hAnsi="Arial" w:cs="Arial"/>
                <w:sz w:val="18"/>
                <w:szCs w:val="18"/>
              </w:rPr>
            </w:pPr>
            <w:r>
              <w:rPr>
                <w:rFonts w:ascii="Arial" w:hAnsi="Arial"/>
                <w:sz w:val="18"/>
              </w:rPr>
              <w:t xml:space="preserve">Students from foreign universities with exchange agreements apply through MoveOn via a link on the SLU website. </w:t>
            </w:r>
          </w:p>
          <w:p w14:paraId="12ABBA1F" w14:textId="77777777" w:rsidR="005B0C75" w:rsidRDefault="005B0C75" w:rsidP="005B0C75">
            <w:pPr>
              <w:rPr>
                <w:rFonts w:ascii="Arial" w:hAnsi="Arial" w:cs="Arial"/>
                <w:sz w:val="18"/>
                <w:szCs w:val="18"/>
              </w:rPr>
            </w:pPr>
            <w:r>
              <w:rPr>
                <w:rFonts w:ascii="Arial" w:hAnsi="Arial"/>
                <w:sz w:val="18"/>
              </w:rPr>
              <w:t>Students from other foreign universities apply through universityadmissions.se.</w:t>
            </w:r>
            <w:r>
              <w:rPr>
                <w:rFonts w:ascii="Arial" w:hAnsi="Arial" w:cs="Arial"/>
                <w:sz w:val="18"/>
                <w:szCs w:val="18"/>
              </w:rPr>
              <w:br/>
            </w:r>
            <w:r>
              <w:rPr>
                <w:rFonts w:ascii="Arial" w:hAnsi="Arial"/>
                <w:sz w:val="18"/>
              </w:rPr>
              <w:t>Students from Swedish universities apply through antagning.se.</w:t>
            </w:r>
          </w:p>
          <w:p w14:paraId="3DAF83AC" w14:textId="1DBA6BE4" w:rsidR="005B0C75" w:rsidRDefault="005B0C75" w:rsidP="005B0C75">
            <w:pPr>
              <w:rPr>
                <w:rFonts w:ascii="Arial" w:hAnsi="Arial" w:cs="Arial"/>
                <w:sz w:val="18"/>
                <w:szCs w:val="18"/>
              </w:rPr>
            </w:pPr>
            <w:r>
              <w:rPr>
                <w:rFonts w:ascii="Arial" w:hAnsi="Arial"/>
                <w:sz w:val="18"/>
              </w:rPr>
              <w:t>Registration is open from around 22 Feb to 15 March (national application round).</w:t>
            </w:r>
          </w:p>
          <w:p w14:paraId="15AAAB39" w14:textId="0E744B15" w:rsidR="004F1BEA" w:rsidRDefault="005B0C75" w:rsidP="005B0C75">
            <w:pPr>
              <w:rPr>
                <w:rFonts w:ascii="Arial" w:hAnsi="Arial" w:cs="Arial"/>
                <w:sz w:val="18"/>
                <w:szCs w:val="18"/>
              </w:rPr>
            </w:pPr>
            <w:r>
              <w:rPr>
                <w:rFonts w:ascii="Arial" w:hAnsi="Arial"/>
                <w:sz w:val="18"/>
              </w:rPr>
              <w:t>In the event of a specific requirement, another application period can be given for exchange students. If the course leader so wishes, the education officer has a dialogue with the admissions office and the mobility group about the feasibility of this.</w:t>
            </w:r>
          </w:p>
        </w:tc>
      </w:tr>
      <w:tr w:rsidR="005F59D5" w:rsidRPr="009C6FE7" w14:paraId="73CABE1F" w14:textId="77777777" w:rsidTr="005F59D5">
        <w:tc>
          <w:tcPr>
            <w:tcW w:w="2235" w:type="dxa"/>
          </w:tcPr>
          <w:p w14:paraId="240ABDF0" w14:textId="43ECB02F" w:rsidR="005F59D5" w:rsidRDefault="005F59D5" w:rsidP="009064F0">
            <w:pPr>
              <w:rPr>
                <w:rFonts w:ascii="Arial" w:hAnsi="Arial" w:cs="Arial"/>
                <w:sz w:val="18"/>
                <w:szCs w:val="18"/>
              </w:rPr>
            </w:pPr>
            <w:r>
              <w:rPr>
                <w:rFonts w:ascii="Arial" w:hAnsi="Arial"/>
                <w:sz w:val="18"/>
              </w:rPr>
              <w:t>Review of eligibility</w:t>
            </w:r>
          </w:p>
        </w:tc>
        <w:tc>
          <w:tcPr>
            <w:tcW w:w="6945" w:type="dxa"/>
          </w:tcPr>
          <w:p w14:paraId="4B255F6D" w14:textId="15C098B2" w:rsidR="005F59D5" w:rsidRDefault="008A0C95" w:rsidP="00D57A8D">
            <w:pPr>
              <w:rPr>
                <w:rFonts w:ascii="Arial" w:hAnsi="Arial" w:cs="Arial"/>
                <w:sz w:val="18"/>
                <w:szCs w:val="18"/>
              </w:rPr>
            </w:pPr>
            <w:r>
              <w:rPr>
                <w:rFonts w:ascii="Arial" w:hAnsi="Arial"/>
                <w:sz w:val="18"/>
              </w:rPr>
              <w:t>The Admissions Unit</w:t>
            </w:r>
            <w:r w:rsidR="005F59D5">
              <w:rPr>
                <w:rFonts w:ascii="Arial" w:hAnsi="Arial"/>
                <w:sz w:val="18"/>
              </w:rPr>
              <w:t xml:space="preserve"> reviews the applicants' eligibility. The course leader or other expert in the subject will be contacted for help with any potential equivalence assessment.</w:t>
            </w:r>
          </w:p>
        </w:tc>
      </w:tr>
      <w:tr w:rsidR="0045042A" w:rsidRPr="003763EC" w14:paraId="15AAAB3C" w14:textId="77777777" w:rsidTr="005F59D5">
        <w:tc>
          <w:tcPr>
            <w:tcW w:w="9180" w:type="dxa"/>
            <w:gridSpan w:val="2"/>
            <w:shd w:val="clear" w:color="auto" w:fill="1F497D" w:themeFill="text2"/>
          </w:tcPr>
          <w:p w14:paraId="15AAAB3B" w14:textId="77777777" w:rsidR="0045042A" w:rsidRPr="0045042A" w:rsidRDefault="0045042A">
            <w:pPr>
              <w:rPr>
                <w:rFonts w:ascii="Arial" w:hAnsi="Arial" w:cs="Arial"/>
                <w:b/>
                <w:color w:val="FFFFFF" w:themeColor="background1"/>
                <w:sz w:val="18"/>
                <w:szCs w:val="18"/>
              </w:rPr>
            </w:pPr>
            <w:r>
              <w:rPr>
                <w:rFonts w:ascii="Arial" w:hAnsi="Arial"/>
                <w:b/>
                <w:color w:val="FFFFFF" w:themeColor="background1"/>
                <w:sz w:val="18"/>
              </w:rPr>
              <w:t>April</w:t>
            </w:r>
          </w:p>
        </w:tc>
      </w:tr>
      <w:tr w:rsidR="0045042A" w:rsidRPr="009C6FE7" w14:paraId="15AAAB3F" w14:textId="77777777" w:rsidTr="005F59D5">
        <w:tc>
          <w:tcPr>
            <w:tcW w:w="2235" w:type="dxa"/>
          </w:tcPr>
          <w:p w14:paraId="15AAAB3D" w14:textId="77777777" w:rsidR="0045042A" w:rsidRDefault="0045042A" w:rsidP="009064F0">
            <w:pPr>
              <w:rPr>
                <w:rFonts w:ascii="Arial" w:hAnsi="Arial" w:cs="Arial"/>
                <w:sz w:val="18"/>
                <w:szCs w:val="18"/>
              </w:rPr>
            </w:pPr>
            <w:r>
              <w:rPr>
                <w:rFonts w:ascii="Arial" w:hAnsi="Arial"/>
                <w:sz w:val="18"/>
              </w:rPr>
              <w:t>Selection</w:t>
            </w:r>
          </w:p>
        </w:tc>
        <w:tc>
          <w:tcPr>
            <w:tcW w:w="6945" w:type="dxa"/>
          </w:tcPr>
          <w:p w14:paraId="15AAAB3E" w14:textId="342CB3B6" w:rsidR="0045042A" w:rsidRDefault="0045042A" w:rsidP="00413A0E">
            <w:pPr>
              <w:rPr>
                <w:rFonts w:ascii="Arial" w:hAnsi="Arial" w:cs="Arial"/>
                <w:sz w:val="18"/>
                <w:szCs w:val="18"/>
              </w:rPr>
            </w:pPr>
            <w:r>
              <w:rPr>
                <w:rFonts w:ascii="Arial" w:hAnsi="Arial"/>
                <w:sz w:val="18"/>
              </w:rPr>
              <w:t xml:space="preserve">The selection from </w:t>
            </w:r>
            <w:r w:rsidR="008A0C95">
              <w:rPr>
                <w:rFonts w:ascii="Arial" w:hAnsi="Arial"/>
                <w:sz w:val="18"/>
              </w:rPr>
              <w:t xml:space="preserve">the </w:t>
            </w:r>
            <w:r w:rsidR="00413A0E">
              <w:rPr>
                <w:rFonts w:ascii="Arial" w:hAnsi="Arial"/>
                <w:sz w:val="18"/>
              </w:rPr>
              <w:t>A</w:t>
            </w:r>
            <w:r>
              <w:rPr>
                <w:rFonts w:ascii="Arial" w:hAnsi="Arial"/>
                <w:sz w:val="18"/>
              </w:rPr>
              <w:t xml:space="preserve">dmissions </w:t>
            </w:r>
            <w:r w:rsidR="008A0C95">
              <w:rPr>
                <w:rFonts w:ascii="Arial" w:hAnsi="Arial"/>
                <w:sz w:val="18"/>
              </w:rPr>
              <w:t xml:space="preserve">Unit </w:t>
            </w:r>
            <w:r>
              <w:rPr>
                <w:rFonts w:ascii="Arial" w:hAnsi="Arial"/>
                <w:sz w:val="18"/>
              </w:rPr>
              <w:t>is made at the end of April. The accepted students are transferred over in Ladok at the beginning of May.</w:t>
            </w:r>
          </w:p>
        </w:tc>
      </w:tr>
      <w:tr w:rsidR="00204EF5" w:rsidRPr="002F682F" w14:paraId="15AAAB42" w14:textId="77777777" w:rsidTr="005F59D5">
        <w:tc>
          <w:tcPr>
            <w:tcW w:w="2235" w:type="dxa"/>
            <w:tcBorders>
              <w:bottom w:val="single" w:sz="4" w:space="0" w:color="auto"/>
            </w:tcBorders>
            <w:shd w:val="clear" w:color="auto" w:fill="1F497D" w:themeFill="text2"/>
          </w:tcPr>
          <w:p w14:paraId="15AAAB40" w14:textId="77777777" w:rsidR="00204EF5" w:rsidRPr="001D5F88" w:rsidRDefault="00204EF5" w:rsidP="00204EF5">
            <w:pPr>
              <w:rPr>
                <w:rFonts w:ascii="Arial" w:hAnsi="Arial" w:cs="Arial"/>
                <w:b/>
                <w:color w:val="FFFFFF" w:themeColor="background1"/>
                <w:sz w:val="18"/>
                <w:szCs w:val="18"/>
              </w:rPr>
            </w:pPr>
            <w:r>
              <w:rPr>
                <w:rFonts w:ascii="Arial" w:hAnsi="Arial"/>
                <w:b/>
                <w:color w:val="FFFFFF" w:themeColor="background1"/>
                <w:sz w:val="18"/>
              </w:rPr>
              <w:t>May/June</w:t>
            </w:r>
          </w:p>
        </w:tc>
        <w:tc>
          <w:tcPr>
            <w:tcW w:w="6945" w:type="dxa"/>
            <w:tcBorders>
              <w:bottom w:val="single" w:sz="4" w:space="0" w:color="auto"/>
            </w:tcBorders>
            <w:shd w:val="clear" w:color="auto" w:fill="1F497D" w:themeFill="text2"/>
          </w:tcPr>
          <w:p w14:paraId="15AAAB41" w14:textId="77777777" w:rsidR="00204EF5" w:rsidRPr="001D5F88" w:rsidRDefault="00204EF5" w:rsidP="00204EF5">
            <w:pPr>
              <w:rPr>
                <w:rStyle w:val="Strong"/>
                <w:rFonts w:ascii="Arial" w:hAnsi="Arial" w:cs="Arial"/>
                <w:color w:val="FFFFFF" w:themeColor="background1"/>
                <w:sz w:val="18"/>
                <w:szCs w:val="18"/>
              </w:rPr>
            </w:pPr>
          </w:p>
        </w:tc>
      </w:tr>
      <w:tr w:rsidR="00036EFE" w:rsidRPr="009C6FE7" w14:paraId="15AAAB45" w14:textId="77777777" w:rsidTr="005F59D5">
        <w:tc>
          <w:tcPr>
            <w:tcW w:w="2235" w:type="dxa"/>
          </w:tcPr>
          <w:p w14:paraId="15AAAB43" w14:textId="7A15CD09" w:rsidR="00036EFE" w:rsidRPr="00036EFE" w:rsidRDefault="00036EFE" w:rsidP="007658AD">
            <w:pPr>
              <w:rPr>
                <w:rFonts w:ascii="Arial" w:hAnsi="Arial" w:cs="Arial"/>
                <w:sz w:val="18"/>
                <w:szCs w:val="18"/>
              </w:rPr>
            </w:pPr>
            <w:r>
              <w:rPr>
                <w:rFonts w:ascii="Arial" w:hAnsi="Arial"/>
                <w:sz w:val="18"/>
              </w:rPr>
              <w:t xml:space="preserve">Admitted students </w:t>
            </w:r>
          </w:p>
        </w:tc>
        <w:tc>
          <w:tcPr>
            <w:tcW w:w="6945" w:type="dxa"/>
          </w:tcPr>
          <w:p w14:paraId="15AAAB44" w14:textId="77777777" w:rsidR="00036EFE" w:rsidRPr="00036EFE" w:rsidRDefault="00036EFE" w:rsidP="00204EF5">
            <w:pPr>
              <w:rPr>
                <w:rFonts w:ascii="Arial" w:hAnsi="Arial" w:cs="Arial"/>
                <w:sz w:val="18"/>
                <w:szCs w:val="18"/>
              </w:rPr>
            </w:pPr>
            <w:r>
              <w:rPr>
                <w:rFonts w:ascii="Arial" w:hAnsi="Arial"/>
                <w:sz w:val="18"/>
              </w:rPr>
              <w:t>The education administrator</w:t>
            </w:r>
            <w:r>
              <w:rPr>
                <w:rFonts w:ascii="Arial" w:hAnsi="Arial"/>
                <w:b/>
                <w:sz w:val="18"/>
              </w:rPr>
              <w:t xml:space="preserve"> </w:t>
            </w:r>
            <w:r>
              <w:rPr>
                <w:rFonts w:ascii="Arial" w:hAnsi="Arial"/>
                <w:sz w:val="18"/>
              </w:rPr>
              <w:t>brings up a list in Ladok (UT39, expected participants and reserves) and submits it to the course leader.</w:t>
            </w:r>
          </w:p>
        </w:tc>
      </w:tr>
      <w:tr w:rsidR="00036EFE" w:rsidRPr="009C6FE7" w14:paraId="15AAAB48" w14:textId="77777777" w:rsidTr="005F59D5">
        <w:tc>
          <w:tcPr>
            <w:tcW w:w="2235" w:type="dxa"/>
          </w:tcPr>
          <w:p w14:paraId="15AAAB46" w14:textId="77777777" w:rsidR="00036EFE" w:rsidRPr="00036EFE" w:rsidRDefault="00036EFE" w:rsidP="002449B7">
            <w:pPr>
              <w:rPr>
                <w:rFonts w:ascii="Arial" w:hAnsi="Arial" w:cs="Arial"/>
                <w:sz w:val="18"/>
                <w:szCs w:val="18"/>
              </w:rPr>
            </w:pPr>
            <w:r>
              <w:rPr>
                <w:rFonts w:ascii="Arial" w:hAnsi="Arial"/>
                <w:sz w:val="18"/>
              </w:rPr>
              <w:t xml:space="preserve">Acceptance letters </w:t>
            </w:r>
          </w:p>
        </w:tc>
        <w:tc>
          <w:tcPr>
            <w:tcW w:w="6945" w:type="dxa"/>
          </w:tcPr>
          <w:p w14:paraId="15AAAB47" w14:textId="011FB891" w:rsidR="00036EFE" w:rsidRPr="00036EFE" w:rsidRDefault="0012457A" w:rsidP="004C2A6A">
            <w:pPr>
              <w:rPr>
                <w:rFonts w:ascii="Arial" w:hAnsi="Arial" w:cs="Arial"/>
                <w:sz w:val="18"/>
                <w:szCs w:val="18"/>
              </w:rPr>
            </w:pPr>
            <w:r>
              <w:rPr>
                <w:rFonts w:ascii="Arial" w:hAnsi="Arial"/>
                <w:sz w:val="18"/>
              </w:rPr>
              <w:t>The education administrator sends acceptance letters to students who have been admitted.</w:t>
            </w:r>
          </w:p>
        </w:tc>
      </w:tr>
      <w:tr w:rsidR="00204EF5" w:rsidRPr="009C6FE7" w14:paraId="15AAAB4B" w14:textId="77777777" w:rsidTr="005F59D5">
        <w:tc>
          <w:tcPr>
            <w:tcW w:w="2235" w:type="dxa"/>
          </w:tcPr>
          <w:p w14:paraId="15AAAB49" w14:textId="77777777" w:rsidR="00204EF5" w:rsidRDefault="00204EF5" w:rsidP="00204EF5">
            <w:pPr>
              <w:rPr>
                <w:rFonts w:ascii="Arial" w:hAnsi="Arial" w:cs="Arial"/>
                <w:sz w:val="18"/>
                <w:szCs w:val="18"/>
              </w:rPr>
            </w:pPr>
            <w:r>
              <w:rPr>
                <w:rFonts w:ascii="Arial" w:hAnsi="Arial"/>
                <w:sz w:val="18"/>
              </w:rPr>
              <w:t>Information to students</w:t>
            </w:r>
          </w:p>
        </w:tc>
        <w:tc>
          <w:tcPr>
            <w:tcW w:w="6945" w:type="dxa"/>
          </w:tcPr>
          <w:p w14:paraId="15AAAB4A" w14:textId="77777777" w:rsidR="00204EF5" w:rsidRPr="00E63B11" w:rsidRDefault="00204EF5" w:rsidP="00204EF5">
            <w:pPr>
              <w:rPr>
                <w:rFonts w:ascii="Arial" w:hAnsi="Arial" w:cs="Arial"/>
                <w:b/>
                <w:sz w:val="18"/>
                <w:szCs w:val="18"/>
              </w:rPr>
            </w:pPr>
            <w:r>
              <w:rPr>
                <w:rFonts w:ascii="Arial" w:hAnsi="Arial"/>
                <w:sz w:val="18"/>
              </w:rPr>
              <w:t xml:space="preserve">The education administrator continuously provides information to students via the course website and </w:t>
            </w:r>
            <w:proofErr w:type="spellStart"/>
            <w:r>
              <w:rPr>
                <w:rFonts w:ascii="Arial" w:hAnsi="Arial"/>
                <w:sz w:val="18"/>
              </w:rPr>
              <w:t>Fronter</w:t>
            </w:r>
            <w:proofErr w:type="spellEnd"/>
            <w:r>
              <w:rPr>
                <w:rFonts w:ascii="Arial" w:hAnsi="Arial"/>
                <w:sz w:val="18"/>
              </w:rPr>
              <w:t>, in agreement with the course leader.</w:t>
            </w:r>
          </w:p>
        </w:tc>
      </w:tr>
      <w:tr w:rsidR="00036EFE" w:rsidRPr="001D5F88" w14:paraId="15AAAB4E" w14:textId="77777777" w:rsidTr="005F59D5">
        <w:tc>
          <w:tcPr>
            <w:tcW w:w="2235" w:type="dxa"/>
          </w:tcPr>
          <w:p w14:paraId="15AAAB4C" w14:textId="77777777" w:rsidR="00036EFE" w:rsidRDefault="00036EFE" w:rsidP="001D5F88">
            <w:pPr>
              <w:rPr>
                <w:rFonts w:ascii="Arial" w:hAnsi="Arial" w:cs="Arial"/>
                <w:sz w:val="18"/>
                <w:szCs w:val="18"/>
              </w:rPr>
            </w:pPr>
            <w:r>
              <w:rPr>
                <w:rFonts w:ascii="Arial" w:hAnsi="Arial"/>
                <w:sz w:val="18"/>
              </w:rPr>
              <w:t xml:space="preserve">Admission from a waiting list </w:t>
            </w:r>
          </w:p>
        </w:tc>
        <w:tc>
          <w:tcPr>
            <w:tcW w:w="6945" w:type="dxa"/>
          </w:tcPr>
          <w:p w14:paraId="15AAAB4D" w14:textId="508B5C7B" w:rsidR="00036EFE" w:rsidRPr="00036EFE" w:rsidRDefault="00036EFE" w:rsidP="00C84B40">
            <w:pPr>
              <w:pStyle w:val="NormalWeb"/>
              <w:rPr>
                <w:rFonts w:ascii="Arial" w:hAnsi="Arial" w:cs="Arial"/>
                <w:sz w:val="18"/>
                <w:szCs w:val="18"/>
              </w:rPr>
            </w:pPr>
            <w:r>
              <w:rPr>
                <w:rFonts w:ascii="Arial" w:hAnsi="Arial"/>
                <w:sz w:val="18"/>
              </w:rPr>
              <w:t xml:space="preserve">When the education administrator is notified by a student that they have declined their place, the education administrator contacts a reserve either via telephone or </w:t>
            </w:r>
            <w:r>
              <w:rPr>
                <w:rFonts w:ascii="Arial" w:hAnsi="Arial"/>
                <w:sz w:val="18"/>
              </w:rPr>
              <w:lastRenderedPageBreak/>
              <w:t>email.</w:t>
            </w:r>
            <w:r w:rsidR="009C60F6">
              <w:rPr>
                <w:rFonts w:ascii="Arial" w:hAnsi="Arial"/>
                <w:sz w:val="18"/>
              </w:rPr>
              <w:t xml:space="preserve"> </w:t>
            </w:r>
            <w:r>
              <w:rPr>
                <w:rFonts w:ascii="Arial" w:hAnsi="Arial"/>
                <w:sz w:val="18"/>
              </w:rPr>
              <w:t xml:space="preserve">Reserves are called in a strict order of precedence within the respective selection group. </w:t>
            </w:r>
          </w:p>
        </w:tc>
      </w:tr>
      <w:tr w:rsidR="00204EF5" w:rsidRPr="001D5F88" w14:paraId="15AAAB54" w14:textId="77777777" w:rsidTr="005F59D5">
        <w:tc>
          <w:tcPr>
            <w:tcW w:w="2235" w:type="dxa"/>
            <w:tcBorders>
              <w:bottom w:val="single" w:sz="4" w:space="0" w:color="auto"/>
            </w:tcBorders>
            <w:shd w:val="clear" w:color="auto" w:fill="1F497D" w:themeFill="text2"/>
          </w:tcPr>
          <w:p w14:paraId="15AAAB52" w14:textId="77777777" w:rsidR="00204EF5" w:rsidRPr="001D5F88" w:rsidRDefault="00204EF5" w:rsidP="00204EF5">
            <w:pPr>
              <w:rPr>
                <w:rFonts w:ascii="Arial" w:hAnsi="Arial" w:cs="Arial"/>
                <w:b/>
                <w:color w:val="FFFFFF" w:themeColor="background1"/>
                <w:sz w:val="18"/>
                <w:szCs w:val="18"/>
              </w:rPr>
            </w:pPr>
            <w:r>
              <w:rPr>
                <w:rFonts w:ascii="Arial" w:hAnsi="Arial"/>
                <w:b/>
                <w:color w:val="FFFFFF" w:themeColor="background1"/>
                <w:sz w:val="18"/>
              </w:rPr>
              <w:lastRenderedPageBreak/>
              <w:t>June/July/August</w:t>
            </w:r>
          </w:p>
        </w:tc>
        <w:tc>
          <w:tcPr>
            <w:tcW w:w="6945" w:type="dxa"/>
            <w:tcBorders>
              <w:bottom w:val="single" w:sz="4" w:space="0" w:color="auto"/>
            </w:tcBorders>
            <w:shd w:val="clear" w:color="auto" w:fill="1F497D" w:themeFill="text2"/>
          </w:tcPr>
          <w:p w14:paraId="15AAAB53" w14:textId="77777777" w:rsidR="00204EF5" w:rsidRPr="001D5F88" w:rsidRDefault="00204EF5" w:rsidP="00204EF5">
            <w:pPr>
              <w:rPr>
                <w:rStyle w:val="Strong"/>
                <w:rFonts w:ascii="Arial" w:hAnsi="Arial" w:cs="Arial"/>
                <w:color w:val="FFFFFF" w:themeColor="background1"/>
                <w:sz w:val="18"/>
                <w:szCs w:val="18"/>
              </w:rPr>
            </w:pPr>
          </w:p>
        </w:tc>
      </w:tr>
      <w:tr w:rsidR="006B161E" w14:paraId="15AAAB56" w14:textId="77777777" w:rsidTr="005F59D5">
        <w:tc>
          <w:tcPr>
            <w:tcW w:w="9180" w:type="dxa"/>
            <w:gridSpan w:val="2"/>
            <w:shd w:val="clear" w:color="auto" w:fill="D9D9D9" w:themeFill="background1" w:themeFillShade="D9"/>
          </w:tcPr>
          <w:p w14:paraId="15AAAB55" w14:textId="77777777" w:rsidR="006B161E" w:rsidRDefault="006B161E" w:rsidP="003A7589">
            <w:pPr>
              <w:rPr>
                <w:rFonts w:ascii="Arial" w:hAnsi="Arial" w:cs="Arial"/>
                <w:sz w:val="18"/>
                <w:szCs w:val="18"/>
              </w:rPr>
            </w:pPr>
            <w:r>
              <w:rPr>
                <w:rFonts w:ascii="Arial" w:hAnsi="Arial"/>
                <w:b/>
                <w:sz w:val="18"/>
              </w:rPr>
              <w:t>Course period</w:t>
            </w:r>
          </w:p>
        </w:tc>
      </w:tr>
      <w:tr w:rsidR="00204EF5" w:rsidRPr="009C6FE7" w14:paraId="15AAAB59" w14:textId="77777777" w:rsidTr="005F59D5">
        <w:tc>
          <w:tcPr>
            <w:tcW w:w="2235" w:type="dxa"/>
            <w:tcBorders>
              <w:bottom w:val="single" w:sz="4" w:space="0" w:color="auto"/>
            </w:tcBorders>
            <w:shd w:val="clear" w:color="auto" w:fill="FFFFFF" w:themeFill="background1"/>
          </w:tcPr>
          <w:p w14:paraId="15AAAB57" w14:textId="1D6D78DF" w:rsidR="00204EF5" w:rsidRPr="003B1343" w:rsidRDefault="007658AD" w:rsidP="00204EF5">
            <w:pPr>
              <w:rPr>
                <w:rFonts w:ascii="Arial" w:hAnsi="Arial" w:cs="Arial"/>
                <w:sz w:val="18"/>
                <w:szCs w:val="18"/>
              </w:rPr>
            </w:pPr>
            <w:r>
              <w:rPr>
                <w:rFonts w:ascii="Arial" w:hAnsi="Arial"/>
                <w:sz w:val="18"/>
              </w:rPr>
              <w:t>Admitted students</w:t>
            </w:r>
          </w:p>
        </w:tc>
        <w:tc>
          <w:tcPr>
            <w:tcW w:w="6945" w:type="dxa"/>
            <w:tcBorders>
              <w:bottom w:val="single" w:sz="4" w:space="0" w:color="auto"/>
            </w:tcBorders>
            <w:shd w:val="clear" w:color="auto" w:fill="FFFFFF" w:themeFill="background1"/>
          </w:tcPr>
          <w:p w14:paraId="15AAAB58" w14:textId="0BC2D357" w:rsidR="00204EF5" w:rsidRPr="003A29BF" w:rsidRDefault="00204EF5" w:rsidP="00204EF5">
            <w:pPr>
              <w:rPr>
                <w:rFonts w:ascii="Arial" w:hAnsi="Arial" w:cs="Arial"/>
                <w:sz w:val="18"/>
                <w:szCs w:val="18"/>
              </w:rPr>
            </w:pPr>
            <w:r>
              <w:rPr>
                <w:rStyle w:val="Strong"/>
                <w:rFonts w:ascii="Arial" w:hAnsi="Arial"/>
                <w:b w:val="0"/>
                <w:sz w:val="18"/>
              </w:rPr>
              <w:t>The education administrator sends a list containing the names of admitted students to the course leader about a week prior to the start of the course. After roll-call and registration in Ladok, the names, email addresses and mobile numbers of the students will be visible to the course leader on the course website.</w:t>
            </w:r>
          </w:p>
        </w:tc>
      </w:tr>
      <w:tr w:rsidR="00B6254E" w:rsidRPr="003B6EA7" w14:paraId="15AAAB5C" w14:textId="77777777" w:rsidTr="005F59D5">
        <w:tc>
          <w:tcPr>
            <w:tcW w:w="2235" w:type="dxa"/>
          </w:tcPr>
          <w:p w14:paraId="15AAAB5A" w14:textId="77777777" w:rsidR="00B6254E" w:rsidRDefault="006905E6">
            <w:pPr>
              <w:rPr>
                <w:rFonts w:ascii="Arial" w:hAnsi="Arial" w:cs="Arial"/>
                <w:sz w:val="18"/>
                <w:szCs w:val="18"/>
              </w:rPr>
            </w:pPr>
            <w:r>
              <w:rPr>
                <w:rFonts w:ascii="Arial" w:hAnsi="Arial"/>
                <w:sz w:val="18"/>
              </w:rPr>
              <w:t>Student representative for course evaluation</w:t>
            </w:r>
          </w:p>
        </w:tc>
        <w:tc>
          <w:tcPr>
            <w:tcW w:w="6945" w:type="dxa"/>
          </w:tcPr>
          <w:p w14:paraId="15AAAB5B" w14:textId="77777777" w:rsidR="00B6254E" w:rsidRPr="006905E6" w:rsidRDefault="006905E6" w:rsidP="00E63B11">
            <w:pPr>
              <w:rPr>
                <w:rStyle w:val="Strong"/>
                <w:rFonts w:ascii="Arial" w:hAnsi="Arial" w:cs="Arial"/>
                <w:b w:val="0"/>
                <w:sz w:val="18"/>
                <w:szCs w:val="18"/>
              </w:rPr>
            </w:pPr>
            <w:r>
              <w:rPr>
                <w:rStyle w:val="Strong"/>
                <w:rFonts w:ascii="Arial" w:hAnsi="Arial"/>
                <w:b w:val="0"/>
                <w:sz w:val="18"/>
              </w:rPr>
              <w:t>At the start of the course, the student group chooses a representative for the course evaluation. The course leader adds the name of the appointed representative to the course website. The student is paid a fee of SEK 400. The fee is taxable.</w:t>
            </w:r>
          </w:p>
        </w:tc>
      </w:tr>
      <w:tr w:rsidR="006B161E" w:rsidRPr="003B6EA7" w14:paraId="15AAAB5E" w14:textId="77777777" w:rsidTr="005F59D5">
        <w:tc>
          <w:tcPr>
            <w:tcW w:w="9180" w:type="dxa"/>
            <w:gridSpan w:val="2"/>
            <w:shd w:val="clear" w:color="auto" w:fill="D9D9D9" w:themeFill="background1" w:themeFillShade="D9"/>
          </w:tcPr>
          <w:p w14:paraId="15AAAB5D" w14:textId="77777777" w:rsidR="006B161E" w:rsidRPr="006905E6" w:rsidRDefault="006B161E" w:rsidP="00E63B11">
            <w:pPr>
              <w:rPr>
                <w:rStyle w:val="Strong"/>
                <w:rFonts w:ascii="Arial" w:hAnsi="Arial" w:cs="Arial"/>
                <w:b w:val="0"/>
                <w:sz w:val="18"/>
                <w:szCs w:val="18"/>
              </w:rPr>
            </w:pPr>
            <w:r>
              <w:rPr>
                <w:rFonts w:ascii="Arial" w:hAnsi="Arial"/>
                <w:b/>
                <w:sz w:val="18"/>
              </w:rPr>
              <w:t>After the course</w:t>
            </w:r>
          </w:p>
        </w:tc>
      </w:tr>
      <w:tr w:rsidR="00022B35" w:rsidRPr="009C6FE7" w14:paraId="15AAAB61" w14:textId="77777777" w:rsidTr="005F59D5">
        <w:tc>
          <w:tcPr>
            <w:tcW w:w="2235" w:type="dxa"/>
          </w:tcPr>
          <w:p w14:paraId="15AAAB5F" w14:textId="77777777" w:rsidR="00022B35" w:rsidRDefault="001F49A3">
            <w:pPr>
              <w:rPr>
                <w:rFonts w:ascii="Arial" w:hAnsi="Arial" w:cs="Arial"/>
                <w:sz w:val="18"/>
                <w:szCs w:val="18"/>
              </w:rPr>
            </w:pPr>
            <w:r>
              <w:rPr>
                <w:rFonts w:ascii="Arial" w:hAnsi="Arial"/>
                <w:sz w:val="18"/>
              </w:rPr>
              <w:t>Reporting results</w:t>
            </w:r>
          </w:p>
        </w:tc>
        <w:tc>
          <w:tcPr>
            <w:tcW w:w="6945" w:type="dxa"/>
          </w:tcPr>
          <w:p w14:paraId="15AAAB60" w14:textId="77777777" w:rsidR="00022B35" w:rsidRDefault="001F49A3" w:rsidP="002678A7">
            <w:pPr>
              <w:rPr>
                <w:rStyle w:val="Strong"/>
                <w:rFonts w:ascii="Arial" w:hAnsi="Arial" w:cs="Arial"/>
                <w:b w:val="0"/>
                <w:sz w:val="18"/>
                <w:szCs w:val="18"/>
              </w:rPr>
            </w:pPr>
            <w:r>
              <w:rPr>
                <w:rStyle w:val="Strong"/>
                <w:rFonts w:ascii="Arial" w:hAnsi="Arial"/>
                <w:b w:val="0"/>
                <w:sz w:val="18"/>
              </w:rPr>
              <w:t>Grades are reported to the education administrator no later than 15 days after completion of the course. The course's examiner has to sign the list of results from Ladok and promptly return it to the education administrator before definitive the grades can be definitively inserted. The examination date indicated when reporting is to be the date the examination took place.</w:t>
            </w:r>
          </w:p>
        </w:tc>
      </w:tr>
      <w:tr w:rsidR="00FC5DCA" w:rsidRPr="009C6FE7" w14:paraId="15AAAB64" w14:textId="77777777" w:rsidTr="005F59D5">
        <w:tc>
          <w:tcPr>
            <w:tcW w:w="2235" w:type="dxa"/>
          </w:tcPr>
          <w:p w14:paraId="15AAAB62" w14:textId="77777777" w:rsidR="00FC5DCA" w:rsidRDefault="002678A7">
            <w:pPr>
              <w:rPr>
                <w:rFonts w:ascii="Arial" w:hAnsi="Arial" w:cs="Arial"/>
                <w:sz w:val="18"/>
                <w:szCs w:val="18"/>
              </w:rPr>
            </w:pPr>
            <w:r>
              <w:rPr>
                <w:rFonts w:ascii="Arial" w:hAnsi="Arial"/>
                <w:sz w:val="18"/>
              </w:rPr>
              <w:t>Course certificate</w:t>
            </w:r>
          </w:p>
        </w:tc>
        <w:tc>
          <w:tcPr>
            <w:tcW w:w="6945" w:type="dxa"/>
          </w:tcPr>
          <w:p w14:paraId="15AAAB63" w14:textId="77777777" w:rsidR="00FC5DCA" w:rsidRPr="001F49A3" w:rsidRDefault="002678A7" w:rsidP="00B91BC5">
            <w:pPr>
              <w:rPr>
                <w:rStyle w:val="Strong"/>
                <w:rFonts w:ascii="Arial" w:hAnsi="Arial" w:cs="Arial"/>
                <w:b w:val="0"/>
                <w:sz w:val="18"/>
                <w:szCs w:val="18"/>
              </w:rPr>
            </w:pPr>
            <w:r>
              <w:rPr>
                <w:rStyle w:val="Strong"/>
                <w:rFonts w:ascii="Arial" w:hAnsi="Arial"/>
                <w:b w:val="0"/>
                <w:sz w:val="18"/>
              </w:rPr>
              <w:t>The education administrator only issues a course certificate to students upon special request.</w:t>
            </w:r>
          </w:p>
        </w:tc>
      </w:tr>
      <w:tr w:rsidR="00D46513" w:rsidRPr="009C6FE7" w14:paraId="15AAAB68" w14:textId="77777777" w:rsidTr="005F59D5">
        <w:tc>
          <w:tcPr>
            <w:tcW w:w="2235" w:type="dxa"/>
          </w:tcPr>
          <w:p w14:paraId="15AAAB65" w14:textId="55848539" w:rsidR="00D46513" w:rsidRDefault="00D46513">
            <w:pPr>
              <w:rPr>
                <w:rFonts w:ascii="Arial" w:hAnsi="Arial" w:cs="Arial"/>
                <w:sz w:val="18"/>
                <w:szCs w:val="18"/>
              </w:rPr>
            </w:pPr>
            <w:r>
              <w:rPr>
                <w:rFonts w:ascii="Arial" w:hAnsi="Arial"/>
                <w:sz w:val="18"/>
              </w:rPr>
              <w:t>Archival</w:t>
            </w:r>
          </w:p>
        </w:tc>
        <w:tc>
          <w:tcPr>
            <w:tcW w:w="6945" w:type="dxa"/>
          </w:tcPr>
          <w:p w14:paraId="15AAAB66" w14:textId="77777777" w:rsidR="00D46513" w:rsidRPr="00D46513" w:rsidRDefault="00D46513" w:rsidP="00D46513">
            <w:pPr>
              <w:rPr>
                <w:rStyle w:val="Strong"/>
                <w:rFonts w:ascii="Arial" w:hAnsi="Arial" w:cs="Arial"/>
                <w:b w:val="0"/>
                <w:sz w:val="18"/>
                <w:szCs w:val="18"/>
              </w:rPr>
            </w:pPr>
            <w:r>
              <w:rPr>
                <w:rStyle w:val="Strong"/>
                <w:rFonts w:ascii="Arial" w:hAnsi="Arial"/>
                <w:b w:val="0"/>
                <w:sz w:val="18"/>
              </w:rPr>
              <w:t>The course director is responsible for ensuring that examination documentation, timetable, reading list and course evaluation are archived in the department responsible for the course.</w:t>
            </w:r>
          </w:p>
          <w:p w14:paraId="15AAAB67" w14:textId="77777777" w:rsidR="00D46513" w:rsidRPr="002678A7" w:rsidRDefault="00D46513" w:rsidP="00D46513">
            <w:pPr>
              <w:rPr>
                <w:rStyle w:val="Strong"/>
                <w:rFonts w:ascii="Arial" w:hAnsi="Arial" w:cs="Arial"/>
                <w:b w:val="0"/>
                <w:sz w:val="18"/>
                <w:szCs w:val="18"/>
              </w:rPr>
            </w:pPr>
            <w:r>
              <w:rPr>
                <w:rStyle w:val="Strong"/>
                <w:rFonts w:ascii="Arial" w:hAnsi="Arial"/>
                <w:b w:val="0"/>
                <w:sz w:val="18"/>
              </w:rPr>
              <w:t>The education administrator is responsible for the archival of registration and result lists from Ladok.</w:t>
            </w:r>
          </w:p>
        </w:tc>
      </w:tr>
    </w:tbl>
    <w:p w14:paraId="4F261379" w14:textId="1DC90DDF" w:rsidR="00B61347" w:rsidRDefault="00B61347" w:rsidP="007011A8"/>
    <w:p w14:paraId="5D05042D" w14:textId="77777777" w:rsidR="008A0C95" w:rsidRDefault="008A0C95" w:rsidP="007011A8">
      <w:pPr>
        <w:rPr>
          <w:rFonts w:ascii="Arial" w:hAnsi="Arial" w:cs="Arial"/>
          <w:i/>
          <w:sz w:val="18"/>
          <w:szCs w:val="18"/>
        </w:rPr>
      </w:pPr>
    </w:p>
    <w:p w14:paraId="77C3CB33" w14:textId="68A0E7B9" w:rsidR="00597381" w:rsidRPr="008A0C95" w:rsidRDefault="00597381" w:rsidP="007011A8">
      <w:pPr>
        <w:rPr>
          <w:rFonts w:ascii="Arial" w:hAnsi="Arial" w:cs="Arial"/>
          <w:i/>
          <w:sz w:val="18"/>
          <w:szCs w:val="18"/>
        </w:rPr>
      </w:pPr>
      <w:bookmarkStart w:id="0" w:name="_GoBack"/>
      <w:bookmarkEnd w:id="0"/>
      <w:r w:rsidRPr="008A0C95">
        <w:rPr>
          <w:rFonts w:ascii="Arial" w:hAnsi="Arial" w:cs="Arial"/>
          <w:i/>
          <w:sz w:val="18"/>
          <w:szCs w:val="18"/>
        </w:rPr>
        <w:t>Selected Swedish nomenclature:</w:t>
      </w:r>
    </w:p>
    <w:p w14:paraId="36DBB623" w14:textId="16C8DF17" w:rsidR="008A0C95" w:rsidRPr="008A0C95" w:rsidRDefault="008A0C95" w:rsidP="008A0C95">
      <w:pPr>
        <w:rPr>
          <w:rFonts w:ascii="Arial" w:hAnsi="Arial" w:cs="Arial"/>
          <w:sz w:val="18"/>
          <w:szCs w:val="18"/>
        </w:rPr>
      </w:pPr>
      <w:r w:rsidRPr="008A0C95">
        <w:rPr>
          <w:rFonts w:ascii="Arial" w:hAnsi="Arial" w:cs="Arial"/>
          <w:sz w:val="18"/>
          <w:szCs w:val="18"/>
        </w:rPr>
        <w:t xml:space="preserve">Admissions Unit - </w:t>
      </w:r>
      <w:proofErr w:type="spellStart"/>
      <w:r w:rsidRPr="008A0C95">
        <w:rPr>
          <w:rFonts w:ascii="Arial" w:hAnsi="Arial" w:cs="Arial"/>
          <w:sz w:val="18"/>
          <w:szCs w:val="18"/>
        </w:rPr>
        <w:t>antagningsenheten</w:t>
      </w:r>
      <w:proofErr w:type="spellEnd"/>
    </w:p>
    <w:p w14:paraId="64C7A0C2" w14:textId="18AEAFBF" w:rsidR="008A0C95" w:rsidRPr="008A0C95" w:rsidRDefault="008A0C95" w:rsidP="008A0C95">
      <w:pPr>
        <w:rPr>
          <w:rFonts w:ascii="Arial" w:hAnsi="Arial" w:cs="Arial"/>
          <w:sz w:val="18"/>
          <w:szCs w:val="18"/>
        </w:rPr>
      </w:pPr>
      <w:proofErr w:type="gramStart"/>
      <w:r w:rsidRPr="008A0C95">
        <w:rPr>
          <w:rFonts w:ascii="Arial" w:hAnsi="Arial" w:cs="Arial"/>
          <w:sz w:val="18"/>
          <w:szCs w:val="18"/>
        </w:rPr>
        <w:t>director</w:t>
      </w:r>
      <w:proofErr w:type="gramEnd"/>
      <w:r w:rsidRPr="008A0C95">
        <w:rPr>
          <w:rFonts w:ascii="Arial" w:hAnsi="Arial" w:cs="Arial"/>
          <w:sz w:val="18"/>
          <w:szCs w:val="18"/>
        </w:rPr>
        <w:t xml:space="preserve"> of undergraduate studies</w:t>
      </w:r>
      <w:r>
        <w:rPr>
          <w:rFonts w:ascii="Arial" w:hAnsi="Arial" w:cs="Arial"/>
          <w:sz w:val="18"/>
          <w:szCs w:val="18"/>
        </w:rPr>
        <w:t xml:space="preserve"> at the department</w:t>
      </w:r>
      <w:r w:rsidRPr="008A0C95">
        <w:rPr>
          <w:rFonts w:ascii="Arial" w:hAnsi="Arial" w:cs="Arial"/>
          <w:sz w:val="18"/>
          <w:szCs w:val="18"/>
        </w:rPr>
        <w:t xml:space="preserve"> – GU-</w:t>
      </w:r>
      <w:proofErr w:type="spellStart"/>
      <w:r w:rsidRPr="008A0C95">
        <w:rPr>
          <w:rFonts w:ascii="Arial" w:hAnsi="Arial" w:cs="Arial"/>
          <w:sz w:val="18"/>
          <w:szCs w:val="18"/>
        </w:rPr>
        <w:t>ansvarig</w:t>
      </w:r>
      <w:proofErr w:type="spellEnd"/>
    </w:p>
    <w:p w14:paraId="4E055D64" w14:textId="0D6F54C2" w:rsidR="008A0C95" w:rsidRPr="008A0C95" w:rsidRDefault="008A0C95" w:rsidP="008A0C95">
      <w:pPr>
        <w:rPr>
          <w:rFonts w:ascii="Arial" w:hAnsi="Arial" w:cs="Arial"/>
          <w:sz w:val="18"/>
          <w:szCs w:val="18"/>
        </w:rPr>
      </w:pPr>
      <w:proofErr w:type="gramStart"/>
      <w:r w:rsidRPr="008A0C95">
        <w:rPr>
          <w:rFonts w:ascii="Arial" w:hAnsi="Arial" w:cs="Arial"/>
          <w:sz w:val="18"/>
          <w:szCs w:val="18"/>
        </w:rPr>
        <w:t>education</w:t>
      </w:r>
      <w:proofErr w:type="gramEnd"/>
      <w:r w:rsidRPr="008A0C95">
        <w:rPr>
          <w:rFonts w:ascii="Arial" w:hAnsi="Arial" w:cs="Arial"/>
          <w:sz w:val="18"/>
          <w:szCs w:val="18"/>
        </w:rPr>
        <w:t xml:space="preserve"> administrator – </w:t>
      </w:r>
      <w:proofErr w:type="spellStart"/>
      <w:r w:rsidRPr="008A0C95">
        <w:rPr>
          <w:rFonts w:ascii="Arial" w:hAnsi="Arial" w:cs="Arial"/>
          <w:sz w:val="18"/>
          <w:szCs w:val="18"/>
        </w:rPr>
        <w:t>utbi</w:t>
      </w:r>
      <w:r>
        <w:rPr>
          <w:rFonts w:ascii="Arial" w:hAnsi="Arial" w:cs="Arial"/>
          <w:sz w:val="18"/>
          <w:szCs w:val="18"/>
        </w:rPr>
        <w:t>ld</w:t>
      </w:r>
      <w:r w:rsidRPr="008A0C95">
        <w:rPr>
          <w:rFonts w:ascii="Arial" w:hAnsi="Arial" w:cs="Arial"/>
          <w:sz w:val="18"/>
          <w:szCs w:val="18"/>
        </w:rPr>
        <w:t>ningsadministratör</w:t>
      </w:r>
      <w:proofErr w:type="spellEnd"/>
    </w:p>
    <w:p w14:paraId="686AE542" w14:textId="77777777" w:rsidR="008A0C95" w:rsidRPr="008A0C95" w:rsidRDefault="008A0C95" w:rsidP="008A0C95">
      <w:pPr>
        <w:rPr>
          <w:rFonts w:ascii="Arial" w:hAnsi="Arial" w:cs="Arial"/>
          <w:sz w:val="18"/>
          <w:szCs w:val="18"/>
        </w:rPr>
      </w:pPr>
      <w:r w:rsidRPr="008A0C95">
        <w:rPr>
          <w:rFonts w:ascii="Arial" w:hAnsi="Arial" w:cs="Arial"/>
          <w:sz w:val="18"/>
          <w:szCs w:val="18"/>
        </w:rPr>
        <w:t xml:space="preserve">Education Centre – </w:t>
      </w:r>
      <w:proofErr w:type="spellStart"/>
      <w:r w:rsidRPr="008A0C95">
        <w:rPr>
          <w:rFonts w:ascii="Arial" w:hAnsi="Arial" w:cs="Arial"/>
          <w:sz w:val="18"/>
          <w:szCs w:val="18"/>
        </w:rPr>
        <w:t>utbildningscentrum</w:t>
      </w:r>
      <w:proofErr w:type="spellEnd"/>
    </w:p>
    <w:p w14:paraId="2055A844" w14:textId="77777777" w:rsidR="008A0C95" w:rsidRPr="008A0C95" w:rsidRDefault="008A0C95" w:rsidP="008A0C95">
      <w:pPr>
        <w:rPr>
          <w:rFonts w:ascii="Arial" w:hAnsi="Arial" w:cs="Arial"/>
          <w:sz w:val="18"/>
          <w:szCs w:val="18"/>
        </w:rPr>
      </w:pPr>
      <w:proofErr w:type="gramStart"/>
      <w:r w:rsidRPr="008A0C95">
        <w:rPr>
          <w:rFonts w:ascii="Arial" w:hAnsi="Arial" w:cs="Arial"/>
          <w:sz w:val="18"/>
          <w:szCs w:val="18"/>
        </w:rPr>
        <w:t>education</w:t>
      </w:r>
      <w:proofErr w:type="gramEnd"/>
      <w:r w:rsidRPr="008A0C95">
        <w:rPr>
          <w:rFonts w:ascii="Arial" w:hAnsi="Arial" w:cs="Arial"/>
          <w:sz w:val="18"/>
          <w:szCs w:val="18"/>
        </w:rPr>
        <w:t xml:space="preserve"> officer – </w:t>
      </w:r>
      <w:proofErr w:type="spellStart"/>
      <w:r w:rsidRPr="008A0C95">
        <w:rPr>
          <w:rFonts w:ascii="Arial" w:hAnsi="Arial" w:cs="Arial"/>
          <w:sz w:val="18"/>
          <w:szCs w:val="18"/>
        </w:rPr>
        <w:t>utbildningshandläggare</w:t>
      </w:r>
      <w:proofErr w:type="spellEnd"/>
    </w:p>
    <w:p w14:paraId="258A7DE3" w14:textId="03135412" w:rsidR="008A0C95" w:rsidRPr="008A0C95" w:rsidRDefault="008A0C95" w:rsidP="008A0C95">
      <w:pPr>
        <w:rPr>
          <w:rFonts w:ascii="Arial" w:hAnsi="Arial" w:cs="Arial"/>
          <w:sz w:val="18"/>
          <w:szCs w:val="18"/>
        </w:rPr>
      </w:pPr>
      <w:proofErr w:type="gramStart"/>
      <w:r w:rsidRPr="008A0C95">
        <w:rPr>
          <w:rFonts w:ascii="Arial" w:hAnsi="Arial" w:cs="Arial"/>
          <w:sz w:val="18"/>
          <w:szCs w:val="18"/>
        </w:rPr>
        <w:t>faculty</w:t>
      </w:r>
      <w:proofErr w:type="gramEnd"/>
      <w:r w:rsidRPr="008A0C95">
        <w:rPr>
          <w:rFonts w:ascii="Arial" w:hAnsi="Arial" w:cs="Arial"/>
          <w:sz w:val="18"/>
          <w:szCs w:val="18"/>
        </w:rPr>
        <w:t xml:space="preserve"> programme director – </w:t>
      </w:r>
      <w:proofErr w:type="spellStart"/>
      <w:r w:rsidRPr="008A0C95">
        <w:rPr>
          <w:rFonts w:ascii="Arial" w:hAnsi="Arial" w:cs="Arial"/>
          <w:sz w:val="18"/>
          <w:szCs w:val="18"/>
        </w:rPr>
        <w:t>utbild</w:t>
      </w:r>
      <w:r>
        <w:rPr>
          <w:rFonts w:ascii="Arial" w:hAnsi="Arial" w:cs="Arial"/>
          <w:sz w:val="18"/>
          <w:szCs w:val="18"/>
        </w:rPr>
        <w:t>n</w:t>
      </w:r>
      <w:r w:rsidRPr="008A0C95">
        <w:rPr>
          <w:rFonts w:ascii="Arial" w:hAnsi="Arial" w:cs="Arial"/>
          <w:sz w:val="18"/>
          <w:szCs w:val="18"/>
        </w:rPr>
        <w:t>ingsledare</w:t>
      </w:r>
      <w:proofErr w:type="spellEnd"/>
    </w:p>
    <w:p w14:paraId="02021C17" w14:textId="2256515A" w:rsidR="008A0C95" w:rsidRPr="008A0C95" w:rsidRDefault="008A0C95" w:rsidP="008A0C95">
      <w:pPr>
        <w:rPr>
          <w:rFonts w:ascii="Arial" w:hAnsi="Arial" w:cs="Arial"/>
          <w:sz w:val="18"/>
          <w:szCs w:val="18"/>
        </w:rPr>
      </w:pPr>
      <w:proofErr w:type="gramStart"/>
      <w:r w:rsidRPr="008A0C95">
        <w:rPr>
          <w:rFonts w:ascii="Arial" w:hAnsi="Arial" w:cs="Arial"/>
          <w:sz w:val="18"/>
          <w:szCs w:val="18"/>
        </w:rPr>
        <w:t>head</w:t>
      </w:r>
      <w:proofErr w:type="gramEnd"/>
      <w:r w:rsidRPr="008A0C95">
        <w:rPr>
          <w:rFonts w:ascii="Arial" w:hAnsi="Arial" w:cs="Arial"/>
          <w:sz w:val="18"/>
          <w:szCs w:val="18"/>
        </w:rPr>
        <w:t xml:space="preserve"> of department – </w:t>
      </w:r>
      <w:proofErr w:type="spellStart"/>
      <w:r w:rsidRPr="008A0C95">
        <w:rPr>
          <w:rFonts w:ascii="Arial" w:hAnsi="Arial" w:cs="Arial"/>
          <w:sz w:val="18"/>
          <w:szCs w:val="18"/>
        </w:rPr>
        <w:t>prefekt</w:t>
      </w:r>
      <w:proofErr w:type="spellEnd"/>
    </w:p>
    <w:p w14:paraId="0FDEAF99" w14:textId="04BCE0B4" w:rsidR="008A0C95" w:rsidRPr="008A0C95" w:rsidRDefault="008A0C95" w:rsidP="007011A8">
      <w:pPr>
        <w:rPr>
          <w:rFonts w:ascii="Arial" w:hAnsi="Arial" w:cs="Arial"/>
          <w:sz w:val="18"/>
          <w:szCs w:val="18"/>
        </w:rPr>
      </w:pPr>
      <w:proofErr w:type="gramStart"/>
      <w:r>
        <w:rPr>
          <w:rFonts w:ascii="Arial" w:hAnsi="Arial" w:cs="Arial"/>
          <w:sz w:val="18"/>
          <w:szCs w:val="18"/>
        </w:rPr>
        <w:t>programme</w:t>
      </w:r>
      <w:proofErr w:type="gramEnd"/>
      <w:r>
        <w:rPr>
          <w:rFonts w:ascii="Arial" w:hAnsi="Arial" w:cs="Arial"/>
          <w:sz w:val="18"/>
          <w:szCs w:val="18"/>
        </w:rPr>
        <w:t xml:space="preserve"> director</w:t>
      </w:r>
      <w:r w:rsidR="00597381" w:rsidRPr="008A0C95">
        <w:rPr>
          <w:rFonts w:ascii="Arial" w:hAnsi="Arial" w:cs="Arial"/>
          <w:sz w:val="18"/>
          <w:szCs w:val="18"/>
        </w:rPr>
        <w:t xml:space="preserve"> of studies –</w:t>
      </w:r>
      <w:r w:rsidRPr="008A0C95">
        <w:rPr>
          <w:rFonts w:ascii="Arial" w:hAnsi="Arial" w:cs="Arial"/>
          <w:sz w:val="18"/>
          <w:szCs w:val="18"/>
        </w:rPr>
        <w:t xml:space="preserve"> </w:t>
      </w:r>
      <w:proofErr w:type="spellStart"/>
      <w:r w:rsidRPr="008A0C95">
        <w:rPr>
          <w:rFonts w:ascii="Arial" w:hAnsi="Arial" w:cs="Arial"/>
          <w:sz w:val="18"/>
          <w:szCs w:val="18"/>
        </w:rPr>
        <w:t>programstudierektor</w:t>
      </w:r>
      <w:proofErr w:type="spellEnd"/>
    </w:p>
    <w:p w14:paraId="05BFA6CD" w14:textId="77777777" w:rsidR="008A0C95" w:rsidRPr="008A0C95" w:rsidRDefault="008A0C95">
      <w:pPr>
        <w:rPr>
          <w:rFonts w:ascii="Arial" w:hAnsi="Arial" w:cs="Arial"/>
          <w:sz w:val="18"/>
          <w:szCs w:val="18"/>
        </w:rPr>
      </w:pPr>
    </w:p>
    <w:sectPr w:rsidR="008A0C95" w:rsidRPr="008A0C95" w:rsidSect="007011A8">
      <w:headerReference w:type="default" r:id="rId15"/>
      <w:footerReference w:type="default" r:id="rId16"/>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6452" w14:textId="77777777" w:rsidR="00597381" w:rsidRDefault="00597381" w:rsidP="0043653A">
      <w:pPr>
        <w:spacing w:after="0" w:line="240" w:lineRule="auto"/>
      </w:pPr>
      <w:r>
        <w:separator/>
      </w:r>
    </w:p>
  </w:endnote>
  <w:endnote w:type="continuationSeparator" w:id="0">
    <w:p w14:paraId="3D89FA4C" w14:textId="77777777" w:rsidR="00597381" w:rsidRDefault="00597381" w:rsidP="0043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45177"/>
      <w:docPartObj>
        <w:docPartGallery w:val="Page Numbers (Bottom of Page)"/>
        <w:docPartUnique/>
      </w:docPartObj>
    </w:sdtPr>
    <w:sdtContent>
      <w:sdt>
        <w:sdtPr>
          <w:id w:val="860082579"/>
          <w:docPartObj>
            <w:docPartGallery w:val="Page Numbers (Top of Page)"/>
            <w:docPartUnique/>
          </w:docPartObj>
        </w:sdtPr>
        <w:sdtContent>
          <w:p w14:paraId="15AAAB72" w14:textId="77777777" w:rsidR="00597381" w:rsidRDefault="00597381">
            <w:pPr>
              <w:pStyle w:val="Footer"/>
              <w:jc w:val="right"/>
            </w:pPr>
            <w:r>
              <w:rPr>
                <w:rFonts w:ascii="Arial" w:hAnsi="Arial"/>
                <w:sz w:val="18"/>
              </w:rPr>
              <w:t xml:space="preserve">Page </w:t>
            </w:r>
            <w:r w:rsidRPr="00434E67">
              <w:rPr>
                <w:rFonts w:ascii="Arial" w:hAnsi="Arial" w:cs="Arial"/>
                <w:b/>
                <w:bCs/>
                <w:sz w:val="18"/>
                <w:szCs w:val="18"/>
              </w:rPr>
              <w:fldChar w:fldCharType="begin"/>
            </w:r>
            <w:r w:rsidRPr="00434E67">
              <w:rPr>
                <w:rFonts w:ascii="Arial" w:hAnsi="Arial" w:cs="Arial"/>
                <w:b/>
                <w:bCs/>
                <w:sz w:val="18"/>
                <w:szCs w:val="18"/>
              </w:rPr>
              <w:instrText xml:space="preserve"> PAGE </w:instrText>
            </w:r>
            <w:r w:rsidRPr="00434E67">
              <w:rPr>
                <w:rFonts w:ascii="Arial" w:hAnsi="Arial" w:cs="Arial"/>
                <w:b/>
                <w:bCs/>
                <w:sz w:val="18"/>
                <w:szCs w:val="18"/>
              </w:rPr>
              <w:fldChar w:fldCharType="separate"/>
            </w:r>
            <w:r w:rsidR="008A0C95">
              <w:rPr>
                <w:rFonts w:ascii="Arial" w:hAnsi="Arial" w:cs="Arial"/>
                <w:b/>
                <w:bCs/>
                <w:noProof/>
                <w:sz w:val="18"/>
                <w:szCs w:val="18"/>
              </w:rPr>
              <w:t>3</w:t>
            </w:r>
            <w:r w:rsidRPr="00434E67">
              <w:rPr>
                <w:rFonts w:ascii="Arial" w:hAnsi="Arial" w:cs="Arial"/>
                <w:b/>
                <w:bCs/>
                <w:sz w:val="18"/>
                <w:szCs w:val="18"/>
              </w:rPr>
              <w:fldChar w:fldCharType="end"/>
            </w:r>
            <w:r>
              <w:rPr>
                <w:rFonts w:ascii="Arial" w:hAnsi="Arial"/>
                <w:sz w:val="18"/>
              </w:rPr>
              <w:t xml:space="preserve"> of </w:t>
            </w:r>
            <w:r w:rsidRPr="00434E67">
              <w:rPr>
                <w:rFonts w:ascii="Arial" w:hAnsi="Arial" w:cs="Arial"/>
                <w:b/>
                <w:bCs/>
                <w:sz w:val="18"/>
                <w:szCs w:val="18"/>
              </w:rPr>
              <w:fldChar w:fldCharType="begin"/>
            </w:r>
            <w:r w:rsidRPr="00434E67">
              <w:rPr>
                <w:rFonts w:ascii="Arial" w:hAnsi="Arial" w:cs="Arial"/>
                <w:b/>
                <w:bCs/>
                <w:sz w:val="18"/>
                <w:szCs w:val="18"/>
              </w:rPr>
              <w:instrText xml:space="preserve"> NUMPAGES  </w:instrText>
            </w:r>
            <w:r w:rsidRPr="00434E67">
              <w:rPr>
                <w:rFonts w:ascii="Arial" w:hAnsi="Arial" w:cs="Arial"/>
                <w:b/>
                <w:bCs/>
                <w:sz w:val="18"/>
                <w:szCs w:val="18"/>
              </w:rPr>
              <w:fldChar w:fldCharType="separate"/>
            </w:r>
            <w:r w:rsidR="008A0C95">
              <w:rPr>
                <w:rFonts w:ascii="Arial" w:hAnsi="Arial" w:cs="Arial"/>
                <w:b/>
                <w:bCs/>
                <w:noProof/>
                <w:sz w:val="18"/>
                <w:szCs w:val="18"/>
              </w:rPr>
              <w:t>3</w:t>
            </w:r>
            <w:r w:rsidRPr="00434E67">
              <w:rPr>
                <w:rFonts w:ascii="Arial" w:hAnsi="Arial" w:cs="Arial"/>
                <w:b/>
                <w:bCs/>
                <w:sz w:val="18"/>
                <w:szCs w:val="18"/>
              </w:rPr>
              <w:fldChar w:fldCharType="end"/>
            </w:r>
          </w:p>
        </w:sdtContent>
      </w:sdt>
    </w:sdtContent>
  </w:sdt>
  <w:p w14:paraId="15AAAB73" w14:textId="77777777" w:rsidR="00597381" w:rsidRDefault="0059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626E" w14:textId="77777777" w:rsidR="00597381" w:rsidRDefault="00597381" w:rsidP="0043653A">
      <w:pPr>
        <w:spacing w:after="0" w:line="240" w:lineRule="auto"/>
      </w:pPr>
      <w:r>
        <w:separator/>
      </w:r>
    </w:p>
  </w:footnote>
  <w:footnote w:type="continuationSeparator" w:id="0">
    <w:p w14:paraId="6D32B947" w14:textId="77777777" w:rsidR="00597381" w:rsidRDefault="00597381" w:rsidP="0043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AB70" w14:textId="5742CABC" w:rsidR="00597381" w:rsidRPr="007011A8" w:rsidRDefault="00597381">
    <w:pPr>
      <w:pStyle w:val="Header"/>
    </w:pPr>
    <w:r>
      <w:tab/>
    </w:r>
    <w:r>
      <w:tab/>
      <w:t>14/12/2015 – Education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416"/>
    <w:multiLevelType w:val="hybridMultilevel"/>
    <w:tmpl w:val="4128FB2C"/>
    <w:lvl w:ilvl="0" w:tplc="46687D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E157E"/>
    <w:multiLevelType w:val="hybridMultilevel"/>
    <w:tmpl w:val="777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7F"/>
    <w:rsid w:val="00022B35"/>
    <w:rsid w:val="000264CB"/>
    <w:rsid w:val="00036EFE"/>
    <w:rsid w:val="000B3E13"/>
    <w:rsid w:val="000B4EEA"/>
    <w:rsid w:val="000E5740"/>
    <w:rsid w:val="000F2364"/>
    <w:rsid w:val="001223B7"/>
    <w:rsid w:val="0012457A"/>
    <w:rsid w:val="00164C68"/>
    <w:rsid w:val="0019791A"/>
    <w:rsid w:val="001B2F5B"/>
    <w:rsid w:val="001D5F88"/>
    <w:rsid w:val="001E75AF"/>
    <w:rsid w:val="001F3A35"/>
    <w:rsid w:val="001F49A3"/>
    <w:rsid w:val="00204EF5"/>
    <w:rsid w:val="002449B7"/>
    <w:rsid w:val="002678A7"/>
    <w:rsid w:val="002A072D"/>
    <w:rsid w:val="002D10AA"/>
    <w:rsid w:val="002F25C4"/>
    <w:rsid w:val="002F682F"/>
    <w:rsid w:val="0031165D"/>
    <w:rsid w:val="003235B5"/>
    <w:rsid w:val="00330E9F"/>
    <w:rsid w:val="00355151"/>
    <w:rsid w:val="003763EC"/>
    <w:rsid w:val="003A29BF"/>
    <w:rsid w:val="003A37E5"/>
    <w:rsid w:val="003A7589"/>
    <w:rsid w:val="003B1343"/>
    <w:rsid w:val="003B6EA7"/>
    <w:rsid w:val="003D33CD"/>
    <w:rsid w:val="00413A0E"/>
    <w:rsid w:val="00434E67"/>
    <w:rsid w:val="0043653A"/>
    <w:rsid w:val="0045042A"/>
    <w:rsid w:val="00456C08"/>
    <w:rsid w:val="004C2A6A"/>
    <w:rsid w:val="004E6A2B"/>
    <w:rsid w:val="004F1BEA"/>
    <w:rsid w:val="004F4922"/>
    <w:rsid w:val="00522353"/>
    <w:rsid w:val="00546F0E"/>
    <w:rsid w:val="0058470A"/>
    <w:rsid w:val="00584FD6"/>
    <w:rsid w:val="00597381"/>
    <w:rsid w:val="005B0C75"/>
    <w:rsid w:val="005B299B"/>
    <w:rsid w:val="005D1E98"/>
    <w:rsid w:val="005F59D5"/>
    <w:rsid w:val="00605A94"/>
    <w:rsid w:val="0063181D"/>
    <w:rsid w:val="0063327C"/>
    <w:rsid w:val="00657893"/>
    <w:rsid w:val="006905E6"/>
    <w:rsid w:val="006B161E"/>
    <w:rsid w:val="006C331E"/>
    <w:rsid w:val="006E3C39"/>
    <w:rsid w:val="006F5AB0"/>
    <w:rsid w:val="006F72E4"/>
    <w:rsid w:val="007011A8"/>
    <w:rsid w:val="00754E2F"/>
    <w:rsid w:val="007658AD"/>
    <w:rsid w:val="00791571"/>
    <w:rsid w:val="007A55C7"/>
    <w:rsid w:val="007A7006"/>
    <w:rsid w:val="007C7BC6"/>
    <w:rsid w:val="007E54D7"/>
    <w:rsid w:val="007F3430"/>
    <w:rsid w:val="008135F8"/>
    <w:rsid w:val="0084129C"/>
    <w:rsid w:val="00842825"/>
    <w:rsid w:val="00857D43"/>
    <w:rsid w:val="00895CB9"/>
    <w:rsid w:val="00897DF5"/>
    <w:rsid w:val="008A0C95"/>
    <w:rsid w:val="008B0200"/>
    <w:rsid w:val="008B458A"/>
    <w:rsid w:val="009064F0"/>
    <w:rsid w:val="0094733F"/>
    <w:rsid w:val="00967D5A"/>
    <w:rsid w:val="00981876"/>
    <w:rsid w:val="0098714F"/>
    <w:rsid w:val="009915B1"/>
    <w:rsid w:val="009A4222"/>
    <w:rsid w:val="009C063B"/>
    <w:rsid w:val="009C60F6"/>
    <w:rsid w:val="009C6FE7"/>
    <w:rsid w:val="009D7327"/>
    <w:rsid w:val="00A1276A"/>
    <w:rsid w:val="00A23343"/>
    <w:rsid w:val="00A23377"/>
    <w:rsid w:val="00A34EA5"/>
    <w:rsid w:val="00A36221"/>
    <w:rsid w:val="00A4000A"/>
    <w:rsid w:val="00A62A84"/>
    <w:rsid w:val="00A64BF8"/>
    <w:rsid w:val="00AB55CA"/>
    <w:rsid w:val="00AF6809"/>
    <w:rsid w:val="00B11B37"/>
    <w:rsid w:val="00B16B79"/>
    <w:rsid w:val="00B23B7F"/>
    <w:rsid w:val="00B243BB"/>
    <w:rsid w:val="00B61347"/>
    <w:rsid w:val="00B6254E"/>
    <w:rsid w:val="00B67C1D"/>
    <w:rsid w:val="00B91BC5"/>
    <w:rsid w:val="00BC1E98"/>
    <w:rsid w:val="00BC6956"/>
    <w:rsid w:val="00BE75D7"/>
    <w:rsid w:val="00C84B40"/>
    <w:rsid w:val="00CD6341"/>
    <w:rsid w:val="00CE262E"/>
    <w:rsid w:val="00CE7A6E"/>
    <w:rsid w:val="00D12B22"/>
    <w:rsid w:val="00D46513"/>
    <w:rsid w:val="00D57112"/>
    <w:rsid w:val="00D57A8D"/>
    <w:rsid w:val="00DA7C2E"/>
    <w:rsid w:val="00DB01F2"/>
    <w:rsid w:val="00DB17BF"/>
    <w:rsid w:val="00DC07E8"/>
    <w:rsid w:val="00DD7749"/>
    <w:rsid w:val="00DE2431"/>
    <w:rsid w:val="00E07273"/>
    <w:rsid w:val="00E12749"/>
    <w:rsid w:val="00E63B11"/>
    <w:rsid w:val="00EA2D98"/>
    <w:rsid w:val="00EC1CD2"/>
    <w:rsid w:val="00EC6331"/>
    <w:rsid w:val="00EE25BB"/>
    <w:rsid w:val="00F0128C"/>
    <w:rsid w:val="00F10449"/>
    <w:rsid w:val="00F41A30"/>
    <w:rsid w:val="00F44109"/>
    <w:rsid w:val="00F5543D"/>
    <w:rsid w:val="00F622FE"/>
    <w:rsid w:val="00F72E82"/>
    <w:rsid w:val="00F92BFF"/>
    <w:rsid w:val="00FA4F3B"/>
    <w:rsid w:val="00FC5DCA"/>
    <w:rsid w:val="00FC735F"/>
    <w:rsid w:val="00FD27E9"/>
    <w:rsid w:val="00FD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AAB00"/>
  <w15:docId w15:val="{56B614F3-2F1F-48EB-A6B2-E6FE88E4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5D1E98"/>
    <w:rPr>
      <w:b/>
      <w:bCs/>
    </w:rPr>
  </w:style>
  <w:style w:type="paragraph" w:styleId="ListParagraph">
    <w:name w:val="List Paragraph"/>
    <w:basedOn w:val="Normal"/>
    <w:uiPriority w:val="34"/>
    <w:qFormat/>
    <w:rsid w:val="00A4000A"/>
    <w:pPr>
      <w:ind w:left="720"/>
      <w:contextualSpacing/>
    </w:pPr>
  </w:style>
  <w:style w:type="paragraph" w:styleId="Header">
    <w:name w:val="header"/>
    <w:basedOn w:val="Normal"/>
    <w:link w:val="HeaderChar"/>
    <w:uiPriority w:val="99"/>
    <w:unhideWhenUsed/>
    <w:rsid w:val="0043653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653A"/>
  </w:style>
  <w:style w:type="paragraph" w:styleId="Footer">
    <w:name w:val="footer"/>
    <w:basedOn w:val="Normal"/>
    <w:link w:val="FooterChar"/>
    <w:uiPriority w:val="99"/>
    <w:unhideWhenUsed/>
    <w:rsid w:val="004365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653A"/>
  </w:style>
  <w:style w:type="character" w:styleId="Hyperlink">
    <w:name w:val="Hyperlink"/>
    <w:basedOn w:val="DefaultParagraphFont"/>
    <w:uiPriority w:val="99"/>
    <w:unhideWhenUsed/>
    <w:rsid w:val="001223B7"/>
    <w:rPr>
      <w:color w:val="0000FF" w:themeColor="hyperlink"/>
      <w:u w:val="single"/>
    </w:rPr>
  </w:style>
  <w:style w:type="paragraph" w:styleId="BalloonText">
    <w:name w:val="Balloon Text"/>
    <w:basedOn w:val="Normal"/>
    <w:link w:val="BalloonTextChar"/>
    <w:uiPriority w:val="99"/>
    <w:semiHidden/>
    <w:unhideWhenUsed/>
    <w:rsid w:val="00F9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FF"/>
    <w:rPr>
      <w:rFonts w:ascii="Tahoma" w:hAnsi="Tahoma" w:cs="Tahoma"/>
      <w:sz w:val="16"/>
      <w:szCs w:val="16"/>
    </w:rPr>
  </w:style>
  <w:style w:type="character" w:styleId="FollowedHyperlink">
    <w:name w:val="FollowedHyperlink"/>
    <w:basedOn w:val="DefaultParagraphFont"/>
    <w:uiPriority w:val="99"/>
    <w:semiHidden/>
    <w:unhideWhenUsed/>
    <w:rsid w:val="009C6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1882">
      <w:bodyDiv w:val="1"/>
      <w:marLeft w:val="0"/>
      <w:marRight w:val="0"/>
      <w:marTop w:val="0"/>
      <w:marBottom w:val="0"/>
      <w:divBdr>
        <w:top w:val="none" w:sz="0" w:space="0" w:color="auto"/>
        <w:left w:val="none" w:sz="0" w:space="0" w:color="auto"/>
        <w:bottom w:val="none" w:sz="0" w:space="0" w:color="auto"/>
        <w:right w:val="none" w:sz="0" w:space="0" w:color="auto"/>
      </w:divBdr>
    </w:div>
    <w:div w:id="1369603792">
      <w:bodyDiv w:val="1"/>
      <w:marLeft w:val="0"/>
      <w:marRight w:val="0"/>
      <w:marTop w:val="0"/>
      <w:marBottom w:val="0"/>
      <w:divBdr>
        <w:top w:val="none" w:sz="0" w:space="0" w:color="auto"/>
        <w:left w:val="none" w:sz="0" w:space="0" w:color="auto"/>
        <w:bottom w:val="none" w:sz="0" w:space="0" w:color="auto"/>
        <w:right w:val="none" w:sz="0" w:space="0" w:color="auto"/>
      </w:divBdr>
    </w:div>
    <w:div w:id="1618029779">
      <w:bodyDiv w:val="1"/>
      <w:marLeft w:val="0"/>
      <w:marRight w:val="0"/>
      <w:marTop w:val="0"/>
      <w:marBottom w:val="0"/>
      <w:divBdr>
        <w:top w:val="none" w:sz="0" w:space="0" w:color="auto"/>
        <w:left w:val="none" w:sz="0" w:space="0" w:color="auto"/>
        <w:bottom w:val="none" w:sz="0" w:space="0" w:color="auto"/>
        <w:right w:val="none" w:sz="0" w:space="0" w:color="auto"/>
      </w:divBdr>
      <w:divsChild>
        <w:div w:id="549802789">
          <w:marLeft w:val="0"/>
          <w:marRight w:val="0"/>
          <w:marTop w:val="0"/>
          <w:marBottom w:val="0"/>
          <w:divBdr>
            <w:top w:val="none" w:sz="0" w:space="0" w:color="auto"/>
            <w:left w:val="none" w:sz="0" w:space="0" w:color="auto"/>
            <w:bottom w:val="none" w:sz="0" w:space="0" w:color="auto"/>
            <w:right w:val="none" w:sz="0" w:space="0" w:color="auto"/>
          </w:divBdr>
          <w:divsChild>
            <w:div w:id="490098654">
              <w:marLeft w:val="0"/>
              <w:marRight w:val="0"/>
              <w:marTop w:val="0"/>
              <w:marBottom w:val="0"/>
              <w:divBdr>
                <w:top w:val="none" w:sz="0" w:space="0" w:color="auto"/>
                <w:left w:val="none" w:sz="0" w:space="0" w:color="auto"/>
                <w:bottom w:val="none" w:sz="0" w:space="0" w:color="auto"/>
                <w:right w:val="none" w:sz="0" w:space="0" w:color="auto"/>
              </w:divBdr>
              <w:divsChild>
                <w:div w:id="1870531836">
                  <w:marLeft w:val="0"/>
                  <w:marRight w:val="0"/>
                  <w:marTop w:val="0"/>
                  <w:marBottom w:val="0"/>
                  <w:divBdr>
                    <w:top w:val="none" w:sz="0" w:space="0" w:color="auto"/>
                    <w:left w:val="none" w:sz="0" w:space="0" w:color="auto"/>
                    <w:bottom w:val="none" w:sz="0" w:space="0" w:color="auto"/>
                    <w:right w:val="none" w:sz="0" w:space="0" w:color="auto"/>
                  </w:divBdr>
                  <w:divsChild>
                    <w:div w:id="2049866166">
                      <w:marLeft w:val="0"/>
                      <w:marRight w:val="0"/>
                      <w:marTop w:val="0"/>
                      <w:marBottom w:val="0"/>
                      <w:divBdr>
                        <w:top w:val="none" w:sz="0" w:space="0" w:color="auto"/>
                        <w:left w:val="none" w:sz="0" w:space="0" w:color="auto"/>
                        <w:bottom w:val="none" w:sz="0" w:space="0" w:color="auto"/>
                        <w:right w:val="none" w:sz="0" w:space="0" w:color="auto"/>
                      </w:divBdr>
                      <w:divsChild>
                        <w:div w:id="1424254789">
                          <w:marLeft w:val="0"/>
                          <w:marRight w:val="0"/>
                          <w:marTop w:val="0"/>
                          <w:marBottom w:val="0"/>
                          <w:divBdr>
                            <w:top w:val="none" w:sz="0" w:space="0" w:color="auto"/>
                            <w:left w:val="none" w:sz="0" w:space="0" w:color="auto"/>
                            <w:bottom w:val="none" w:sz="0" w:space="0" w:color="auto"/>
                            <w:right w:val="none" w:sz="0" w:space="0" w:color="auto"/>
                          </w:divBdr>
                          <w:divsChild>
                            <w:div w:id="28073212">
                              <w:marLeft w:val="0"/>
                              <w:marRight w:val="0"/>
                              <w:marTop w:val="0"/>
                              <w:marBottom w:val="0"/>
                              <w:divBdr>
                                <w:top w:val="none" w:sz="0" w:space="0" w:color="auto"/>
                                <w:left w:val="none" w:sz="0" w:space="0" w:color="auto"/>
                                <w:bottom w:val="none" w:sz="0" w:space="0" w:color="auto"/>
                                <w:right w:val="none" w:sz="0" w:space="0" w:color="auto"/>
                              </w:divBdr>
                              <w:divsChild>
                                <w:div w:id="1086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91989">
      <w:bodyDiv w:val="1"/>
      <w:marLeft w:val="0"/>
      <w:marRight w:val="0"/>
      <w:marTop w:val="0"/>
      <w:marBottom w:val="0"/>
      <w:divBdr>
        <w:top w:val="none" w:sz="0" w:space="0" w:color="auto"/>
        <w:left w:val="none" w:sz="0" w:space="0" w:color="auto"/>
        <w:bottom w:val="none" w:sz="0" w:space="0" w:color="auto"/>
        <w:right w:val="none" w:sz="0" w:space="0" w:color="auto"/>
      </w:divBdr>
    </w:div>
    <w:div w:id="19634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t.slu.se/sv/utbildning-forskning-foma/samverkan/internationell-samverkan/internationellt-utbildningssamarbe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t.slu.se/sv/utbildning-forskning-foma/samverkan/internationell-samverkan/internationellt-utbildningssamarbete/natverk-/e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t.slu.se/sv/utbildning-forskning-foma/samverkan/internationell-samverkan/internationellt-utbildningssamarbete/natverk-/nova-the-nordic-forestry-veterinary-and-agricultural-university-networ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hohenheim.de/fileadmin/einrichtungen/ells/Joint-programmes/IRO_Summer_School_MANUAL-Update-10-2013_0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2FD834354A894D9FC8CC136F1C7E84" ma:contentTypeVersion="0" ma:contentTypeDescription="Skapa ett nytt dokument." ma:contentTypeScope="" ma:versionID="c0f167345ff52bd52747c49babbe28da">
  <xsd:schema xmlns:xsd="http://www.w3.org/2001/XMLSchema" xmlns:xs="http://www.w3.org/2001/XMLSchema" xmlns:p="http://schemas.microsoft.com/office/2006/metadata/properties" targetNamespace="http://schemas.microsoft.com/office/2006/metadata/properties" ma:root="true" ma:fieldsID="69ef2e4cd410bab373d34cd177428b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00D2-9E02-4603-BEF1-5909EDC6DE95}">
  <ds:schemaRefs>
    <ds:schemaRef ds:uri="http://schemas.microsoft.com/sharepoint/v3/contenttype/forms"/>
  </ds:schemaRefs>
</ds:datastoreItem>
</file>

<file path=customXml/itemProps2.xml><?xml version="1.0" encoding="utf-8"?>
<ds:datastoreItem xmlns:ds="http://schemas.openxmlformats.org/officeDocument/2006/customXml" ds:itemID="{0214FFEA-CA5D-4E02-BB40-4DE141B0DEE1}">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4E64C89-624C-4361-908F-E41A7E077497}"/>
</file>

<file path=customXml/itemProps4.xml><?xml version="1.0" encoding="utf-8"?>
<ds:datastoreItem xmlns:ds="http://schemas.openxmlformats.org/officeDocument/2006/customXml" ds:itemID="{7A098C46-BAF7-41E8-8518-AF64A5F8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CDA8B740.dotm</Template>
  <TotalTime>121</TotalTime>
  <Pages>3</Pages>
  <Words>1639</Words>
  <Characters>9347</Characters>
  <Application>Microsoft Office Word</Application>
  <DocSecurity>0</DocSecurity>
  <Lines>77</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Sjödahl Jakobsen</dc:creator>
  <cp:lastModifiedBy>Kristine Kilså</cp:lastModifiedBy>
  <cp:revision>4</cp:revision>
  <cp:lastPrinted>2015-10-29T08:23:00Z</cp:lastPrinted>
  <dcterms:created xsi:type="dcterms:W3CDTF">2016-01-04T08:11:00Z</dcterms:created>
  <dcterms:modified xsi:type="dcterms:W3CDTF">2016-01-08T09:13:00Z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0x010100BC2FD834354A894D9FC8CC136F1C7E84</vt:lpwstr>
  </property>
  <property fmtid="{D5CDD505-2E9C-101B-9397-08002B2CF9AE}" pid="3" name="Order">
    <vt:r8>97100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